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E03193" w:rsidRDefault="00BB0954" w:rsidP="00C959EC">
      <w:pPr>
        <w:ind w:left="450" w:hanging="450"/>
        <w:jc w:val="right"/>
        <w:rPr>
          <w:rFonts w:asciiTheme="minorHAnsi" w:hAnsiTheme="minorHAnsi" w:cstheme="minorHAnsi"/>
          <w:sz w:val="24"/>
          <w:szCs w:val="24"/>
          <w:lang w:val="ro-RO"/>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E03193" w:rsidRPr="00E03193" w14:paraId="201BB8B2" w14:textId="77777777" w:rsidTr="000B4422">
        <w:trPr>
          <w:trHeight w:val="273"/>
        </w:trPr>
        <w:tc>
          <w:tcPr>
            <w:tcW w:w="2268" w:type="dxa"/>
            <w:vMerge w:val="restart"/>
            <w:hideMark/>
          </w:tcPr>
          <w:p w14:paraId="36C18DA5" w14:textId="77777777" w:rsidR="00CB352C" w:rsidRPr="00E03193"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E03193"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 xml:space="preserve">  Republica Moldova</w:t>
            </w:r>
          </w:p>
        </w:tc>
      </w:tr>
      <w:tr w:rsidR="00E03193" w:rsidRPr="008F5F66" w14:paraId="02FB7F96" w14:textId="77777777" w:rsidTr="000B4422">
        <w:trPr>
          <w:trHeight w:val="582"/>
        </w:trPr>
        <w:tc>
          <w:tcPr>
            <w:tcW w:w="2268" w:type="dxa"/>
            <w:vMerge/>
            <w:vAlign w:val="center"/>
            <w:hideMark/>
          </w:tcPr>
          <w:p w14:paraId="6289416E"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E03193" w:rsidRDefault="00CB352C" w:rsidP="004E44AB">
            <w:pPr>
              <w:tabs>
                <w:tab w:val="center" w:pos="4677"/>
                <w:tab w:val="right" w:pos="9355"/>
              </w:tabs>
              <w:ind w:firstLine="0"/>
              <w:rPr>
                <w:rFonts w:asciiTheme="minorHAnsi" w:eastAsia="Calibri" w:hAnsiTheme="minorHAnsi" w:cstheme="minorHAnsi"/>
                <w:b/>
                <w:sz w:val="24"/>
                <w:szCs w:val="24"/>
                <w:lang w:val="ro-RO"/>
              </w:rPr>
            </w:pPr>
            <w:r w:rsidRPr="00E03193">
              <w:rPr>
                <w:rFonts w:asciiTheme="minorHAnsi" w:eastAsia="Calibri" w:hAnsiTheme="minorHAnsi" w:cstheme="minorHAnsi"/>
                <w:b/>
                <w:sz w:val="24"/>
                <w:szCs w:val="24"/>
                <w:lang w:val="ro-RO"/>
              </w:rPr>
              <w:t>Agenția Națională pentru Reglementare în Energetică</w:t>
            </w:r>
          </w:p>
        </w:tc>
      </w:tr>
      <w:tr w:rsidR="00E03193" w:rsidRPr="00E03193" w14:paraId="399FDDBA" w14:textId="77777777" w:rsidTr="000B4422">
        <w:trPr>
          <w:trHeight w:val="561"/>
        </w:trPr>
        <w:tc>
          <w:tcPr>
            <w:tcW w:w="2268" w:type="dxa"/>
            <w:vMerge/>
            <w:vAlign w:val="center"/>
            <w:hideMark/>
          </w:tcPr>
          <w:p w14:paraId="055A4D73"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E03193" w:rsidRDefault="00CB352C" w:rsidP="004E44AB">
            <w:pPr>
              <w:tabs>
                <w:tab w:val="center" w:pos="4677"/>
                <w:tab w:val="right" w:pos="9355"/>
              </w:tabs>
              <w:ind w:firstLine="0"/>
              <w:rPr>
                <w:rFonts w:asciiTheme="minorHAnsi" w:eastAsia="Calibri" w:hAnsiTheme="minorHAnsi" w:cstheme="minorHAnsi"/>
                <w:sz w:val="24"/>
                <w:szCs w:val="24"/>
                <w:lang w:val="ro-RO"/>
              </w:rPr>
            </w:pPr>
            <w:r w:rsidRPr="00E03193">
              <w:rPr>
                <w:rFonts w:asciiTheme="minorHAnsi" w:eastAsia="Calibri" w:hAnsiTheme="minorHAnsi" w:cstheme="minorHAnsi"/>
                <w:b/>
                <w:sz w:val="24"/>
                <w:szCs w:val="24"/>
                <w:lang w:val="ro-RO"/>
              </w:rPr>
              <w:t>ANRE</w:t>
            </w:r>
          </w:p>
        </w:tc>
      </w:tr>
      <w:tr w:rsidR="000314C0" w:rsidRPr="00E03193" w14:paraId="443F6867" w14:textId="77777777" w:rsidTr="000B4422">
        <w:trPr>
          <w:trHeight w:val="301"/>
        </w:trPr>
        <w:tc>
          <w:tcPr>
            <w:tcW w:w="2268" w:type="dxa"/>
            <w:vMerge/>
            <w:vAlign w:val="center"/>
            <w:hideMark/>
          </w:tcPr>
          <w:p w14:paraId="4509F346" w14:textId="77777777" w:rsidR="00CB352C" w:rsidRPr="00E03193"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E03193" w:rsidRDefault="00CB352C" w:rsidP="006F15CB">
            <w:pPr>
              <w:tabs>
                <w:tab w:val="center" w:pos="4677"/>
                <w:tab w:val="right" w:pos="9355"/>
              </w:tabs>
              <w:ind w:firstLine="0"/>
              <w:rPr>
                <w:rFonts w:asciiTheme="minorHAnsi" w:hAnsiTheme="minorHAnsi" w:cstheme="minorHAnsi"/>
                <w:sz w:val="16"/>
                <w:szCs w:val="16"/>
                <w:lang w:val="ro-RO"/>
              </w:rPr>
            </w:pPr>
            <w:r w:rsidRPr="00E03193">
              <w:rPr>
                <w:rFonts w:asciiTheme="minorHAnsi" w:hAnsiTheme="minorHAnsi" w:cstheme="minorHAnsi"/>
                <w:sz w:val="16"/>
                <w:szCs w:val="16"/>
                <w:lang w:val="ro-RO"/>
              </w:rPr>
              <w:t>str. Alexandr Pușkin 52/A, MD 2005</w:t>
            </w:r>
            <w:r w:rsidRPr="00E03193">
              <w:rPr>
                <w:rFonts w:asciiTheme="minorHAnsi" w:hAnsiTheme="minorHAnsi" w:cstheme="minorHAnsi"/>
                <w:b/>
                <w:bCs/>
                <w:sz w:val="16"/>
                <w:szCs w:val="16"/>
                <w:lang w:val="ro-RO"/>
              </w:rPr>
              <w:t xml:space="preserve"> </w:t>
            </w:r>
            <w:r w:rsidRPr="00E03193">
              <w:rPr>
                <w:rFonts w:asciiTheme="minorHAnsi" w:hAnsiTheme="minorHAnsi" w:cstheme="minorHAnsi"/>
                <w:sz w:val="16"/>
                <w:szCs w:val="16"/>
                <w:lang w:val="ro-RO"/>
              </w:rPr>
              <w:t>Chișinău, Tel: 022 8</w:t>
            </w:r>
            <w:r w:rsidR="006F15CB" w:rsidRPr="00E03193">
              <w:rPr>
                <w:rFonts w:asciiTheme="minorHAnsi" w:hAnsiTheme="minorHAnsi" w:cstheme="minorHAnsi"/>
                <w:sz w:val="16"/>
                <w:szCs w:val="16"/>
                <w:lang w:val="ro-RO"/>
              </w:rPr>
              <w:t>23</w:t>
            </w:r>
            <w:r w:rsidRPr="00E03193">
              <w:rPr>
                <w:rFonts w:asciiTheme="minorHAnsi" w:hAnsiTheme="minorHAnsi" w:cstheme="minorHAnsi"/>
                <w:sz w:val="16"/>
                <w:szCs w:val="16"/>
                <w:lang w:val="ro-RO"/>
              </w:rPr>
              <w:t xml:space="preserve"> 9</w:t>
            </w:r>
            <w:r w:rsidR="006F15CB" w:rsidRPr="00E03193">
              <w:rPr>
                <w:rFonts w:asciiTheme="minorHAnsi" w:hAnsiTheme="minorHAnsi" w:cstheme="minorHAnsi"/>
                <w:sz w:val="16"/>
                <w:szCs w:val="16"/>
                <w:lang w:val="ro-RO"/>
              </w:rPr>
              <w:t>55</w:t>
            </w:r>
            <w:r w:rsidRPr="00E03193">
              <w:rPr>
                <w:rFonts w:asciiTheme="minorHAnsi" w:hAnsiTheme="minorHAnsi" w:cstheme="minorHAnsi"/>
                <w:sz w:val="16"/>
                <w:szCs w:val="16"/>
                <w:lang w:val="ro-RO"/>
              </w:rPr>
              <w:t xml:space="preserve">, </w:t>
            </w:r>
            <w:hyperlink r:id="rId9" w:history="1">
              <w:r w:rsidRPr="00E03193">
                <w:rPr>
                  <w:rFonts w:asciiTheme="minorHAnsi" w:hAnsiTheme="minorHAnsi" w:cstheme="minorHAnsi"/>
                  <w:sz w:val="16"/>
                  <w:szCs w:val="16"/>
                  <w:u w:val="single"/>
                  <w:lang w:val="ro-RO"/>
                </w:rPr>
                <w:t>anre@anre.md</w:t>
              </w:r>
            </w:hyperlink>
            <w:r w:rsidRPr="00E03193">
              <w:rPr>
                <w:rFonts w:asciiTheme="minorHAnsi" w:hAnsiTheme="minorHAnsi" w:cstheme="minorHAnsi"/>
                <w:sz w:val="16"/>
                <w:szCs w:val="16"/>
                <w:u w:val="single"/>
                <w:lang w:val="ro-RO"/>
              </w:rPr>
              <w:t xml:space="preserve">, </w:t>
            </w:r>
            <w:hyperlink r:id="rId10" w:history="1">
              <w:r w:rsidRPr="00E03193">
                <w:rPr>
                  <w:rFonts w:asciiTheme="minorHAnsi" w:hAnsiTheme="minorHAnsi" w:cstheme="minorHAnsi"/>
                  <w:sz w:val="16"/>
                  <w:szCs w:val="16"/>
                  <w:u w:val="single"/>
                  <w:lang w:val="ro-RO"/>
                </w:rPr>
                <w:t>http://www.anre.md</w:t>
              </w:r>
            </w:hyperlink>
          </w:p>
        </w:tc>
      </w:tr>
    </w:tbl>
    <w:p w14:paraId="4F9506B1" w14:textId="77777777" w:rsidR="00034221" w:rsidRPr="00E03193" w:rsidRDefault="00034221" w:rsidP="004E44AB">
      <w:pPr>
        <w:pStyle w:val="HTMLPreformatted"/>
        <w:jc w:val="center"/>
        <w:rPr>
          <w:rFonts w:ascii="Times New Roman" w:hAnsi="Times New Roman"/>
          <w:b/>
          <w:bCs/>
          <w:sz w:val="24"/>
          <w:szCs w:val="24"/>
          <w:lang w:val="ro-RO"/>
        </w:rPr>
      </w:pPr>
    </w:p>
    <w:p w14:paraId="232E94E3" w14:textId="77777777" w:rsidR="00034221" w:rsidRPr="00E03193" w:rsidRDefault="00034221" w:rsidP="004E44AB">
      <w:pPr>
        <w:pStyle w:val="HTMLPreformatted"/>
        <w:jc w:val="center"/>
        <w:rPr>
          <w:rFonts w:ascii="Times New Roman" w:hAnsi="Times New Roman"/>
          <w:b/>
          <w:bCs/>
          <w:sz w:val="26"/>
          <w:szCs w:val="26"/>
          <w:lang w:val="ro-RO"/>
        </w:rPr>
      </w:pPr>
      <w:r w:rsidRPr="00E03193">
        <w:rPr>
          <w:rFonts w:ascii="Times New Roman" w:hAnsi="Times New Roman"/>
          <w:b/>
          <w:bCs/>
          <w:sz w:val="26"/>
          <w:szCs w:val="26"/>
          <w:lang w:val="ro-RO"/>
        </w:rPr>
        <w:t>CONSILIUL DE ADMINISTRAȚIE</w:t>
      </w:r>
    </w:p>
    <w:p w14:paraId="4D12811C" w14:textId="081E69E9" w:rsidR="00034221" w:rsidRPr="00E03193" w:rsidRDefault="006426A7" w:rsidP="00777CCE">
      <w:pPr>
        <w:pStyle w:val="HTMLPreformatted"/>
        <w:tabs>
          <w:tab w:val="left" w:pos="567"/>
        </w:tabs>
        <w:jc w:val="center"/>
        <w:rPr>
          <w:rFonts w:ascii="Times New Roman" w:hAnsi="Times New Roman"/>
          <w:b/>
          <w:bCs/>
          <w:sz w:val="26"/>
          <w:szCs w:val="26"/>
          <w:lang w:val="ro-RO"/>
        </w:rPr>
      </w:pPr>
      <w:r w:rsidRPr="00E03193">
        <w:rPr>
          <w:rFonts w:ascii="Times New Roman" w:hAnsi="Times New Roman"/>
          <w:b/>
          <w:bCs/>
          <w:sz w:val="26"/>
          <w:szCs w:val="26"/>
          <w:lang w:val="ro-RO"/>
        </w:rPr>
        <w:t xml:space="preserve">HOTĂRÂRE nr. </w:t>
      </w:r>
    </w:p>
    <w:p w14:paraId="59EFF54C" w14:textId="40C351EE" w:rsidR="00034221" w:rsidRPr="00E03193" w:rsidRDefault="008C190A"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d</w:t>
      </w:r>
      <w:r w:rsidR="00034221" w:rsidRPr="00E03193">
        <w:rPr>
          <w:rFonts w:ascii="Times New Roman" w:hAnsi="Times New Roman"/>
          <w:bCs/>
          <w:sz w:val="26"/>
          <w:szCs w:val="26"/>
          <w:lang w:val="ro-RO"/>
        </w:rPr>
        <w:t>in</w:t>
      </w:r>
      <w:r w:rsidR="00E63136">
        <w:rPr>
          <w:rFonts w:ascii="Times New Roman" w:hAnsi="Times New Roman"/>
          <w:bCs/>
          <w:sz w:val="26"/>
          <w:szCs w:val="26"/>
          <w:lang w:val="ro-RO"/>
        </w:rPr>
        <w:t xml:space="preserve"> </w:t>
      </w:r>
      <w:bookmarkStart w:id="0" w:name="_GoBack"/>
      <w:bookmarkEnd w:id="0"/>
      <w:r w:rsidR="009F08D1" w:rsidRPr="00E03193">
        <w:rPr>
          <w:rFonts w:ascii="Times New Roman" w:hAnsi="Times New Roman"/>
          <w:bCs/>
          <w:sz w:val="26"/>
          <w:szCs w:val="26"/>
          <w:lang w:val="ro-RO"/>
        </w:rPr>
        <w:t xml:space="preserve">  </w:t>
      </w:r>
      <w:r w:rsidR="00034221" w:rsidRPr="00E03193">
        <w:rPr>
          <w:rFonts w:ascii="Times New Roman" w:hAnsi="Times New Roman"/>
          <w:bCs/>
          <w:sz w:val="26"/>
          <w:szCs w:val="26"/>
          <w:lang w:val="ro-RO"/>
        </w:rPr>
        <w:t>202</w:t>
      </w:r>
      <w:r w:rsidR="006D4F06" w:rsidRPr="00E03193">
        <w:rPr>
          <w:rFonts w:ascii="Times New Roman" w:hAnsi="Times New Roman"/>
          <w:bCs/>
          <w:sz w:val="26"/>
          <w:szCs w:val="26"/>
          <w:lang w:val="ro-RO"/>
        </w:rPr>
        <w:t>6</w:t>
      </w:r>
    </w:p>
    <w:p w14:paraId="65A2548D" w14:textId="77777777" w:rsidR="00034221" w:rsidRPr="00E03193" w:rsidRDefault="00034221" w:rsidP="004E44AB">
      <w:pPr>
        <w:pStyle w:val="HTMLPreformatted"/>
        <w:jc w:val="center"/>
        <w:rPr>
          <w:rFonts w:ascii="Times New Roman" w:hAnsi="Times New Roman"/>
          <w:bCs/>
          <w:sz w:val="26"/>
          <w:szCs w:val="26"/>
          <w:lang w:val="ro-RO"/>
        </w:rPr>
      </w:pPr>
      <w:r w:rsidRPr="00E03193">
        <w:rPr>
          <w:rFonts w:ascii="Times New Roman" w:hAnsi="Times New Roman"/>
          <w:bCs/>
          <w:sz w:val="26"/>
          <w:szCs w:val="26"/>
          <w:lang w:val="ro-RO"/>
        </w:rPr>
        <w:t>mun. Chișinău</w:t>
      </w:r>
    </w:p>
    <w:p w14:paraId="5610FF0A" w14:textId="33F20292" w:rsidR="00B96CB1" w:rsidRPr="00E03193" w:rsidRDefault="00B96CB1" w:rsidP="003D185A">
      <w:pPr>
        <w:pStyle w:val="Normal0"/>
        <w:tabs>
          <w:tab w:val="left" w:pos="5940"/>
        </w:tabs>
        <w:spacing w:before="75"/>
        <w:ind w:firstLine="5670"/>
        <w:rPr>
          <w:rFonts w:ascii="Times New Roman" w:hAnsi="Times New Roman" w:cs="Times New Roman"/>
          <w:sz w:val="26"/>
          <w:szCs w:val="26"/>
          <w:lang w:val="ro-RO"/>
        </w:rPr>
      </w:pPr>
    </w:p>
    <w:p w14:paraId="65150E27" w14:textId="075C19BF" w:rsidR="00603E1F" w:rsidRPr="00E03193" w:rsidRDefault="009E6783">
      <w:pPr>
        <w:ind w:firstLine="0"/>
        <w:jc w:val="center"/>
        <w:rPr>
          <w:b/>
          <w:sz w:val="24"/>
          <w:szCs w:val="24"/>
          <w:lang w:val="ro-RO"/>
        </w:rPr>
      </w:pPr>
      <w:r w:rsidRPr="00E03193">
        <w:rPr>
          <w:b/>
          <w:sz w:val="24"/>
          <w:szCs w:val="24"/>
          <w:lang w:val="ro-RO"/>
        </w:rPr>
        <w:t xml:space="preserve">cu </w:t>
      </w:r>
      <w:r w:rsidR="002D0681" w:rsidRPr="00E03193">
        <w:rPr>
          <w:b/>
          <w:sz w:val="24"/>
          <w:szCs w:val="24"/>
          <w:lang w:val="ro-RO"/>
        </w:rPr>
        <w:t>p</w:t>
      </w:r>
      <w:r w:rsidR="00B96CB1" w:rsidRPr="00E03193">
        <w:rPr>
          <w:b/>
          <w:sz w:val="24"/>
          <w:szCs w:val="24"/>
          <w:lang w:val="ro-RO"/>
        </w:rPr>
        <w:t xml:space="preserve">rivire </w:t>
      </w:r>
      <w:r w:rsidRPr="00E03193">
        <w:rPr>
          <w:b/>
          <w:sz w:val="24"/>
          <w:szCs w:val="24"/>
          <w:lang w:val="ro-RO"/>
        </w:rPr>
        <w:t xml:space="preserve">la </w:t>
      </w:r>
      <w:r w:rsidR="002D0681" w:rsidRPr="00E03193">
        <w:rPr>
          <w:b/>
          <w:sz w:val="24"/>
          <w:szCs w:val="24"/>
          <w:lang w:val="ro-RO"/>
        </w:rPr>
        <w:t>modificarea</w:t>
      </w:r>
      <w:r w:rsidR="00653224" w:rsidRPr="00E03193">
        <w:rPr>
          <w:b/>
          <w:sz w:val="24"/>
          <w:szCs w:val="24"/>
          <w:lang w:val="ro-RO"/>
        </w:rPr>
        <w:t xml:space="preserve"> </w:t>
      </w:r>
      <w:r w:rsidR="0067150B" w:rsidRPr="00E03193">
        <w:rPr>
          <w:b/>
          <w:bCs/>
          <w:sz w:val="24"/>
          <w:szCs w:val="24"/>
          <w:lang w:val="ro-RO"/>
        </w:rPr>
        <w:t>Regulilor pieței energiei electrice</w:t>
      </w:r>
      <w:r w:rsidR="006426A7" w:rsidRPr="00E03193">
        <w:rPr>
          <w:b/>
          <w:bCs/>
          <w:sz w:val="24"/>
          <w:szCs w:val="24"/>
          <w:lang w:val="ro-RO"/>
        </w:rPr>
        <w:t>,</w:t>
      </w:r>
      <w:r w:rsidR="00306EE2" w:rsidRPr="00E03193">
        <w:rPr>
          <w:b/>
          <w:sz w:val="24"/>
          <w:szCs w:val="24"/>
          <w:lang w:val="ro-RO"/>
        </w:rPr>
        <w:t xml:space="preserve"> aprobat</w:t>
      </w:r>
      <w:r w:rsidR="0067150B" w:rsidRPr="00E03193">
        <w:rPr>
          <w:b/>
          <w:sz w:val="24"/>
          <w:szCs w:val="24"/>
          <w:lang w:val="ro-RO"/>
        </w:rPr>
        <w:t>e</w:t>
      </w:r>
      <w:r w:rsidR="00306EE2" w:rsidRPr="00E03193">
        <w:rPr>
          <w:b/>
          <w:sz w:val="24"/>
          <w:szCs w:val="24"/>
          <w:lang w:val="ro-RO"/>
        </w:rPr>
        <w:t xml:space="preserve"> prin </w:t>
      </w:r>
      <w:r w:rsidR="00C959EC" w:rsidRPr="00E03193">
        <w:rPr>
          <w:b/>
          <w:sz w:val="24"/>
          <w:szCs w:val="24"/>
          <w:lang w:val="ro-RO"/>
        </w:rPr>
        <w:t>Hotărârea</w:t>
      </w:r>
      <w:r w:rsidR="00603E1F" w:rsidRPr="00E03193">
        <w:rPr>
          <w:b/>
          <w:sz w:val="24"/>
          <w:szCs w:val="24"/>
          <w:lang w:val="ro-RO"/>
        </w:rPr>
        <w:t xml:space="preserve"> </w:t>
      </w:r>
      <w:r w:rsidR="005744F5" w:rsidRPr="00E03193">
        <w:rPr>
          <w:b/>
          <w:sz w:val="24"/>
          <w:szCs w:val="24"/>
          <w:lang w:val="ro-RO"/>
        </w:rPr>
        <w:t>Con</w:t>
      </w:r>
      <w:r w:rsidR="00F948A5" w:rsidRPr="00E03193">
        <w:rPr>
          <w:b/>
          <w:sz w:val="24"/>
          <w:szCs w:val="24"/>
          <w:lang w:val="ro-RO"/>
        </w:rPr>
        <w:t>s</w:t>
      </w:r>
      <w:r w:rsidR="005744F5" w:rsidRPr="00E03193">
        <w:rPr>
          <w:b/>
          <w:sz w:val="24"/>
          <w:szCs w:val="24"/>
          <w:lang w:val="ro-RO"/>
        </w:rPr>
        <w:t>iliului de administrație</w:t>
      </w:r>
      <w:r w:rsidR="006B56BA" w:rsidRPr="00E03193">
        <w:rPr>
          <w:b/>
          <w:sz w:val="24"/>
          <w:szCs w:val="24"/>
          <w:lang w:val="ro-RO"/>
        </w:rPr>
        <w:t xml:space="preserve"> al </w:t>
      </w:r>
      <w:r w:rsidR="00603E1F" w:rsidRPr="00E03193">
        <w:rPr>
          <w:b/>
          <w:sz w:val="24"/>
          <w:szCs w:val="24"/>
          <w:lang w:val="ro-RO"/>
        </w:rPr>
        <w:t>A</w:t>
      </w:r>
      <w:r w:rsidR="000314C0" w:rsidRPr="00E03193">
        <w:rPr>
          <w:b/>
          <w:sz w:val="24"/>
          <w:szCs w:val="24"/>
          <w:lang w:val="ro-RO"/>
        </w:rPr>
        <w:t>genți</w:t>
      </w:r>
      <w:r w:rsidR="007A7638" w:rsidRPr="00E03193">
        <w:rPr>
          <w:b/>
          <w:sz w:val="24"/>
          <w:szCs w:val="24"/>
          <w:lang w:val="ro-RO"/>
        </w:rPr>
        <w:t>ei</w:t>
      </w:r>
      <w:r w:rsidR="000314C0" w:rsidRPr="00E03193">
        <w:rPr>
          <w:b/>
          <w:sz w:val="24"/>
          <w:szCs w:val="24"/>
          <w:lang w:val="ro-RO"/>
        </w:rPr>
        <w:t xml:space="preserve"> </w:t>
      </w:r>
      <w:r w:rsidR="00603E1F" w:rsidRPr="00E03193">
        <w:rPr>
          <w:b/>
          <w:sz w:val="24"/>
          <w:szCs w:val="24"/>
          <w:lang w:val="ro-RO"/>
        </w:rPr>
        <w:t>N</w:t>
      </w:r>
      <w:r w:rsidR="000314C0" w:rsidRPr="00E03193">
        <w:rPr>
          <w:b/>
          <w:sz w:val="24"/>
          <w:szCs w:val="24"/>
          <w:lang w:val="ro-RO"/>
        </w:rPr>
        <w:t>ațional</w:t>
      </w:r>
      <w:r w:rsidR="007A7638" w:rsidRPr="00E03193">
        <w:rPr>
          <w:b/>
          <w:sz w:val="24"/>
          <w:szCs w:val="24"/>
          <w:lang w:val="ro-RO"/>
        </w:rPr>
        <w:t>e</w:t>
      </w:r>
      <w:r w:rsidR="000314C0" w:rsidRPr="00E03193">
        <w:rPr>
          <w:b/>
          <w:sz w:val="24"/>
          <w:szCs w:val="24"/>
          <w:lang w:val="ro-RO"/>
        </w:rPr>
        <w:t xml:space="preserve"> pentru </w:t>
      </w:r>
      <w:r w:rsidR="00603E1F" w:rsidRPr="00E03193">
        <w:rPr>
          <w:b/>
          <w:sz w:val="24"/>
          <w:szCs w:val="24"/>
          <w:lang w:val="ro-RO"/>
        </w:rPr>
        <w:t>R</w:t>
      </w:r>
      <w:r w:rsidR="000314C0" w:rsidRPr="00E03193">
        <w:rPr>
          <w:b/>
          <w:sz w:val="24"/>
          <w:szCs w:val="24"/>
          <w:lang w:val="ro-RO"/>
        </w:rPr>
        <w:t xml:space="preserve">eglementare în </w:t>
      </w:r>
      <w:r w:rsidR="00603E1F" w:rsidRPr="00E03193">
        <w:rPr>
          <w:b/>
          <w:sz w:val="24"/>
          <w:szCs w:val="24"/>
          <w:lang w:val="ro-RO"/>
        </w:rPr>
        <w:t>E</w:t>
      </w:r>
      <w:r w:rsidR="000314C0" w:rsidRPr="00E03193">
        <w:rPr>
          <w:b/>
          <w:sz w:val="24"/>
          <w:szCs w:val="24"/>
          <w:lang w:val="ro-RO"/>
        </w:rPr>
        <w:t>nergetică</w:t>
      </w:r>
      <w:r w:rsidR="00603E1F" w:rsidRPr="00E03193">
        <w:rPr>
          <w:b/>
          <w:sz w:val="24"/>
          <w:szCs w:val="24"/>
          <w:lang w:val="ro-RO"/>
        </w:rPr>
        <w:t xml:space="preserve"> nr.</w:t>
      </w:r>
      <w:r w:rsidR="006F72E0" w:rsidRPr="00E03193">
        <w:rPr>
          <w:b/>
          <w:sz w:val="24"/>
          <w:szCs w:val="24"/>
          <w:lang w:val="ro-RO"/>
        </w:rPr>
        <w:t xml:space="preserve"> </w:t>
      </w:r>
      <w:r w:rsidR="0067150B" w:rsidRPr="00E03193">
        <w:rPr>
          <w:b/>
          <w:sz w:val="24"/>
          <w:szCs w:val="24"/>
          <w:lang w:val="ro-RO"/>
        </w:rPr>
        <w:t>283</w:t>
      </w:r>
      <w:r w:rsidR="008324AA" w:rsidRPr="00E03193">
        <w:rPr>
          <w:b/>
          <w:sz w:val="24"/>
          <w:szCs w:val="24"/>
          <w:lang w:val="ro-RO"/>
        </w:rPr>
        <w:t>/</w:t>
      </w:r>
      <w:r w:rsidR="0067150B" w:rsidRPr="00E03193">
        <w:rPr>
          <w:b/>
          <w:sz w:val="24"/>
          <w:szCs w:val="24"/>
          <w:lang w:val="ro-RO"/>
        </w:rPr>
        <w:t>2020</w:t>
      </w:r>
      <w:r w:rsidR="009D6BCF" w:rsidRPr="00E03193">
        <w:rPr>
          <w:b/>
          <w:sz w:val="24"/>
          <w:szCs w:val="24"/>
          <w:lang w:val="ro-RO"/>
        </w:rPr>
        <w:t xml:space="preserve"> </w:t>
      </w:r>
    </w:p>
    <w:p w14:paraId="73CCE11B" w14:textId="77777777" w:rsidR="00A81429" w:rsidRPr="00E03193" w:rsidRDefault="00A81429">
      <w:pPr>
        <w:ind w:firstLine="0"/>
        <w:jc w:val="center"/>
        <w:rPr>
          <w:b/>
          <w:sz w:val="24"/>
          <w:szCs w:val="24"/>
          <w:lang w:val="ro-RO"/>
        </w:rPr>
      </w:pPr>
    </w:p>
    <w:p w14:paraId="15E4BB14" w14:textId="40A92ED4" w:rsidR="00BB0954" w:rsidRPr="00E03193" w:rsidRDefault="006D2EB5" w:rsidP="00512AE0">
      <w:pPr>
        <w:ind w:firstLine="567"/>
        <w:rPr>
          <w:sz w:val="24"/>
          <w:szCs w:val="24"/>
          <w:lang w:val="ro-RO" w:eastAsia="ru-RU"/>
        </w:rPr>
      </w:pPr>
      <w:r w:rsidRPr="00E03193">
        <w:rPr>
          <w:sz w:val="24"/>
          <w:szCs w:val="24"/>
          <w:lang w:val="ro-RO"/>
        </w:rPr>
        <w:t xml:space="preserve">În temeiul </w:t>
      </w:r>
      <w:r w:rsidRPr="00E03193">
        <w:rPr>
          <w:bCs/>
          <w:sz w:val="24"/>
          <w:szCs w:val="24"/>
          <w:lang w:val="ro-RO"/>
        </w:rPr>
        <w:t>art.</w:t>
      </w:r>
      <w:r w:rsidR="003E482B" w:rsidRPr="00E03193">
        <w:rPr>
          <w:bCs/>
          <w:sz w:val="24"/>
          <w:szCs w:val="24"/>
          <w:lang w:val="ro-RO"/>
        </w:rPr>
        <w:t xml:space="preserve"> </w:t>
      </w:r>
      <w:r w:rsidR="00150E88" w:rsidRPr="00E03193">
        <w:rPr>
          <w:bCs/>
          <w:sz w:val="24"/>
          <w:szCs w:val="24"/>
          <w:lang w:val="ro-RO"/>
        </w:rPr>
        <w:t>9 alin. (3)</w:t>
      </w:r>
      <w:r w:rsidR="003E482B" w:rsidRPr="00E03193">
        <w:rPr>
          <w:bCs/>
          <w:sz w:val="24"/>
          <w:szCs w:val="24"/>
          <w:lang w:val="ro-RO"/>
        </w:rPr>
        <w:t xml:space="preserve"> </w:t>
      </w:r>
      <w:r w:rsidR="004B2429" w:rsidRPr="00E03193">
        <w:rPr>
          <w:sz w:val="24"/>
          <w:szCs w:val="24"/>
          <w:lang w:val="ro-RO"/>
        </w:rPr>
        <w:t>din Legea nr. 164</w:t>
      </w:r>
      <w:r w:rsidRPr="00E03193">
        <w:rPr>
          <w:sz w:val="24"/>
          <w:szCs w:val="24"/>
          <w:lang w:val="ro-RO"/>
        </w:rPr>
        <w:t>/20</w:t>
      </w:r>
      <w:r w:rsidR="004B2429" w:rsidRPr="00E03193">
        <w:rPr>
          <w:sz w:val="24"/>
          <w:szCs w:val="24"/>
          <w:lang w:val="ro-RO"/>
        </w:rPr>
        <w:t>25</w:t>
      </w:r>
      <w:r w:rsidRPr="00E03193">
        <w:rPr>
          <w:sz w:val="24"/>
          <w:szCs w:val="24"/>
          <w:lang w:val="ro-RO"/>
        </w:rPr>
        <w:t xml:space="preserve"> cu privire la energia electrică (Monitorul Oficial al Republicii Moldova, 20</w:t>
      </w:r>
      <w:r w:rsidR="004B2429" w:rsidRPr="00E03193">
        <w:rPr>
          <w:sz w:val="24"/>
          <w:szCs w:val="24"/>
          <w:lang w:val="ro-RO"/>
        </w:rPr>
        <w:t>25</w:t>
      </w:r>
      <w:r w:rsidRPr="00E03193">
        <w:rPr>
          <w:sz w:val="24"/>
          <w:szCs w:val="24"/>
          <w:lang w:val="ro-RO"/>
        </w:rPr>
        <w:t>, nr.</w:t>
      </w:r>
      <w:r w:rsidR="000D1859" w:rsidRPr="00E03193">
        <w:rPr>
          <w:sz w:val="24"/>
          <w:szCs w:val="24"/>
          <w:lang w:val="ro-RO"/>
        </w:rPr>
        <w:t xml:space="preserve"> </w:t>
      </w:r>
      <w:r w:rsidR="004B2429" w:rsidRPr="00E03193">
        <w:rPr>
          <w:sz w:val="24"/>
          <w:szCs w:val="24"/>
          <w:lang w:val="ro-RO"/>
        </w:rPr>
        <w:t>437</w:t>
      </w:r>
      <w:r w:rsidRPr="00E03193">
        <w:rPr>
          <w:sz w:val="24"/>
          <w:szCs w:val="24"/>
          <w:lang w:val="ro-RO"/>
        </w:rPr>
        <w:t>-</w:t>
      </w:r>
      <w:r w:rsidR="004B2429" w:rsidRPr="00E03193">
        <w:rPr>
          <w:sz w:val="24"/>
          <w:szCs w:val="24"/>
          <w:lang w:val="ro-RO"/>
        </w:rPr>
        <w:t>440</w:t>
      </w:r>
      <w:r w:rsidRPr="00E03193">
        <w:rPr>
          <w:sz w:val="24"/>
          <w:szCs w:val="24"/>
          <w:lang w:val="ro-RO"/>
        </w:rPr>
        <w:t xml:space="preserve">, art. </w:t>
      </w:r>
      <w:r w:rsidR="004B2429" w:rsidRPr="00E03193">
        <w:rPr>
          <w:sz w:val="24"/>
          <w:szCs w:val="24"/>
          <w:lang w:val="ro-RO"/>
        </w:rPr>
        <w:t>598</w:t>
      </w:r>
      <w:r w:rsidRPr="00E03193">
        <w:rPr>
          <w:sz w:val="24"/>
          <w:szCs w:val="24"/>
          <w:lang w:val="ro-RO"/>
        </w:rPr>
        <w:t>),</w:t>
      </w:r>
      <w:r w:rsidR="009E1714" w:rsidRPr="00E03193">
        <w:rPr>
          <w:sz w:val="24"/>
          <w:szCs w:val="24"/>
          <w:lang w:val="ro-RO"/>
        </w:rPr>
        <w:t xml:space="preserve"> </w:t>
      </w:r>
      <w:r w:rsidRPr="00E03193">
        <w:rPr>
          <w:sz w:val="24"/>
          <w:szCs w:val="24"/>
          <w:lang w:val="ro-RO"/>
        </w:rPr>
        <w:t xml:space="preserve">Consiliul de </w:t>
      </w:r>
      <w:r w:rsidR="00645916" w:rsidRPr="00E03193">
        <w:rPr>
          <w:sz w:val="24"/>
          <w:szCs w:val="24"/>
          <w:lang w:val="ro-RO"/>
        </w:rPr>
        <w:t>a</w:t>
      </w:r>
      <w:r w:rsidRPr="00E03193">
        <w:rPr>
          <w:sz w:val="24"/>
          <w:szCs w:val="24"/>
          <w:lang w:val="ro-RO"/>
        </w:rPr>
        <w:t>dministrație al Agenției</w:t>
      </w:r>
      <w:r w:rsidRPr="00E03193">
        <w:rPr>
          <w:sz w:val="24"/>
          <w:szCs w:val="24"/>
          <w:lang w:val="ro-RO" w:eastAsia="ru-RU"/>
        </w:rPr>
        <w:t xml:space="preserve"> Naționale pen</w:t>
      </w:r>
      <w:r w:rsidR="00D26152" w:rsidRPr="00E03193">
        <w:rPr>
          <w:sz w:val="24"/>
          <w:szCs w:val="24"/>
          <w:lang w:val="ro-RO" w:eastAsia="ru-RU"/>
        </w:rPr>
        <w:t xml:space="preserve">tru Reglementare în Energetică </w:t>
      </w:r>
    </w:p>
    <w:p w14:paraId="02E9A1E5" w14:textId="77777777" w:rsidR="00603E1F" w:rsidRPr="00E03193" w:rsidRDefault="00603E1F" w:rsidP="008C2131">
      <w:pPr>
        <w:tabs>
          <w:tab w:val="center" w:pos="4320"/>
          <w:tab w:val="right" w:pos="8640"/>
        </w:tabs>
        <w:spacing w:before="240" w:after="240"/>
        <w:jc w:val="center"/>
        <w:rPr>
          <w:b/>
          <w:bCs/>
          <w:smallCaps/>
          <w:sz w:val="24"/>
          <w:szCs w:val="24"/>
          <w:lang w:val="ro-RO"/>
        </w:rPr>
      </w:pPr>
      <w:r w:rsidRPr="00E03193">
        <w:rPr>
          <w:b/>
          <w:bCs/>
          <w:smallCaps/>
          <w:sz w:val="24"/>
          <w:szCs w:val="24"/>
          <w:lang w:val="ro-RO"/>
        </w:rPr>
        <w:t>H O T Ă R Ă Ş T E:</w:t>
      </w:r>
    </w:p>
    <w:p w14:paraId="57F4876F" w14:textId="06A9A71B" w:rsidR="00A97F0C" w:rsidRPr="00E03193" w:rsidRDefault="00A97F0C" w:rsidP="00F245AE">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bCs/>
          <w:sz w:val="24"/>
          <w:szCs w:val="24"/>
          <w:lang w:val="ro-RO"/>
        </w:rPr>
        <w:t>Regulile pieței energiei electrice,</w:t>
      </w:r>
      <w:r w:rsidRPr="00E03193">
        <w:rPr>
          <w:sz w:val="24"/>
          <w:szCs w:val="24"/>
          <w:lang w:val="ro-RO"/>
        </w:rPr>
        <w:t xml:space="preserve"> aprobate prin Hotărârea Consiliului de administrație al A</w:t>
      </w:r>
      <w:r w:rsidR="00B85DF9" w:rsidRPr="00E03193">
        <w:rPr>
          <w:sz w:val="24"/>
          <w:szCs w:val="24"/>
          <w:lang w:val="ro-RO"/>
        </w:rPr>
        <w:t xml:space="preserve">genției </w:t>
      </w:r>
      <w:r w:rsidRPr="00E03193">
        <w:rPr>
          <w:sz w:val="24"/>
          <w:szCs w:val="24"/>
          <w:lang w:val="ro-RO"/>
        </w:rPr>
        <w:t>N</w:t>
      </w:r>
      <w:r w:rsidR="00B85DF9" w:rsidRPr="00E03193">
        <w:rPr>
          <w:sz w:val="24"/>
          <w:szCs w:val="24"/>
          <w:lang w:val="ro-RO"/>
        </w:rPr>
        <w:t xml:space="preserve">aționale pentru </w:t>
      </w:r>
      <w:r w:rsidRPr="00E03193">
        <w:rPr>
          <w:sz w:val="24"/>
          <w:szCs w:val="24"/>
          <w:lang w:val="ro-RO"/>
        </w:rPr>
        <w:t>R</w:t>
      </w:r>
      <w:r w:rsidR="00B85DF9" w:rsidRPr="00E03193">
        <w:rPr>
          <w:sz w:val="24"/>
          <w:szCs w:val="24"/>
          <w:lang w:val="ro-RO"/>
        </w:rPr>
        <w:t xml:space="preserve">eglementare în </w:t>
      </w:r>
      <w:r w:rsidRPr="00E03193">
        <w:rPr>
          <w:sz w:val="24"/>
          <w:szCs w:val="24"/>
          <w:lang w:val="ro-RO"/>
        </w:rPr>
        <w:t>E</w:t>
      </w:r>
      <w:r w:rsidR="00B85DF9" w:rsidRPr="00E03193">
        <w:rPr>
          <w:sz w:val="24"/>
          <w:szCs w:val="24"/>
          <w:lang w:val="ro-RO"/>
        </w:rPr>
        <w:t>nergetică</w:t>
      </w:r>
      <w:r w:rsidRPr="00E03193">
        <w:rPr>
          <w:sz w:val="24"/>
          <w:szCs w:val="24"/>
          <w:lang w:val="ro-RO"/>
        </w:rPr>
        <w:t xml:space="preserve"> nr. 283</w:t>
      </w:r>
      <w:r w:rsidR="005B6732" w:rsidRPr="00E03193">
        <w:rPr>
          <w:sz w:val="24"/>
          <w:szCs w:val="24"/>
          <w:lang w:val="ro-RO"/>
        </w:rPr>
        <w:t>/</w:t>
      </w:r>
      <w:r w:rsidRPr="00E03193">
        <w:rPr>
          <w:sz w:val="24"/>
          <w:szCs w:val="24"/>
          <w:lang w:val="ro-RO"/>
        </w:rPr>
        <w:t xml:space="preserve">2020 </w:t>
      </w:r>
      <w:r w:rsidR="0059731A" w:rsidRPr="00E03193">
        <w:rPr>
          <w:bCs/>
          <w:sz w:val="24"/>
          <w:szCs w:val="24"/>
          <w:lang w:val="ro-RO"/>
        </w:rPr>
        <w:t>(</w:t>
      </w:r>
      <w:r w:rsidR="0059731A" w:rsidRPr="00E03193">
        <w:rPr>
          <w:bCs/>
          <w:i/>
          <w:sz w:val="24"/>
          <w:szCs w:val="24"/>
          <w:lang w:val="ro-RO"/>
        </w:rPr>
        <w:t>Monitorul Oficial al Republicii Moldova, 2020, nr. 247-257, art. 882</w:t>
      </w:r>
      <w:r w:rsidR="0059731A" w:rsidRPr="00E03193">
        <w:rPr>
          <w:bCs/>
          <w:sz w:val="24"/>
          <w:szCs w:val="24"/>
          <w:lang w:val="ro-RO"/>
        </w:rPr>
        <w:t xml:space="preserve">), înregistrată la Ministerul Justiției cu nr. 1590 din </w:t>
      </w:r>
      <w:r w:rsidR="00785EF2" w:rsidRPr="00E03193">
        <w:rPr>
          <w:bCs/>
          <w:sz w:val="24"/>
          <w:szCs w:val="24"/>
          <w:lang w:val="ro-RO"/>
        </w:rPr>
        <w:t xml:space="preserve">                         </w:t>
      </w:r>
      <w:r w:rsidR="0059731A" w:rsidRPr="00E03193">
        <w:rPr>
          <w:bCs/>
          <w:sz w:val="24"/>
          <w:szCs w:val="24"/>
          <w:lang w:val="ro-RO"/>
        </w:rPr>
        <w:t xml:space="preserve">28 septembrie 2020, </w:t>
      </w:r>
      <w:r w:rsidRPr="00E03193">
        <w:rPr>
          <w:sz w:val="24"/>
          <w:szCs w:val="24"/>
          <w:lang w:val="ro-RO"/>
        </w:rPr>
        <w:t>se modifică după cum urmează:</w:t>
      </w:r>
    </w:p>
    <w:p w14:paraId="357C5D8C" w14:textId="77777777" w:rsidR="009176FD" w:rsidRPr="00E03193" w:rsidRDefault="009176FD" w:rsidP="009176FD">
      <w:pPr>
        <w:tabs>
          <w:tab w:val="left" w:pos="567"/>
          <w:tab w:val="left" w:pos="851"/>
        </w:tabs>
        <w:spacing w:before="120" w:after="120" w:line="276" w:lineRule="auto"/>
        <w:ind w:firstLine="0"/>
        <w:rPr>
          <w:rFonts w:eastAsia="Calibri"/>
          <w:bCs/>
          <w:sz w:val="24"/>
          <w:szCs w:val="24"/>
          <w:lang w:val="ro-RO"/>
        </w:rPr>
      </w:pPr>
    </w:p>
    <w:p w14:paraId="46863F0D" w14:textId="2CF7249F" w:rsidR="00B82205" w:rsidRDefault="001A555A" w:rsidP="00735C54">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sidRPr="00E03193">
        <w:rPr>
          <w:rFonts w:eastAsia="Calibri"/>
          <w:bCs/>
          <w:sz w:val="24"/>
          <w:szCs w:val="24"/>
          <w:lang w:val="ro-RO"/>
        </w:rPr>
        <w:t>Pe</w:t>
      </w:r>
      <w:r w:rsidR="00735C54">
        <w:rPr>
          <w:rFonts w:eastAsia="Calibri"/>
          <w:bCs/>
          <w:sz w:val="24"/>
          <w:szCs w:val="24"/>
          <w:lang w:val="ro-RO"/>
        </w:rPr>
        <w:t xml:space="preserve"> tot</w:t>
      </w:r>
      <w:r w:rsidRPr="00E03193">
        <w:rPr>
          <w:rFonts w:eastAsia="Calibri"/>
          <w:bCs/>
          <w:sz w:val="24"/>
          <w:szCs w:val="24"/>
          <w:lang w:val="ro-RO"/>
        </w:rPr>
        <w:t xml:space="preserve"> parcursul textului cuvintele „piața energiei electrice pe parcursul zilei” se substituie cu cuvintele „piața intrazilnică” , iar abrevierea „PPZ” se substituie cu abrevierea „PI”; </w:t>
      </w:r>
    </w:p>
    <w:p w14:paraId="44B47EF2" w14:textId="12100FC3" w:rsidR="006F12BB" w:rsidRDefault="006F12BB" w:rsidP="00735C54">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Pr>
          <w:rFonts w:eastAsia="Calibri"/>
          <w:bCs/>
          <w:sz w:val="24"/>
          <w:szCs w:val="24"/>
          <w:lang w:val="ro-RO"/>
        </w:rPr>
        <w:t xml:space="preserve">Punctul 1 se expune în redacția următoare: </w:t>
      </w:r>
    </w:p>
    <w:p w14:paraId="0D396FD7" w14:textId="6391E7B6" w:rsidR="006F12BB" w:rsidRDefault="006F12BB" w:rsidP="00735C54">
      <w:pPr>
        <w:pStyle w:val="ListParagraph"/>
        <w:tabs>
          <w:tab w:val="left" w:pos="851"/>
          <w:tab w:val="left" w:pos="1440"/>
        </w:tabs>
        <w:spacing w:before="120" w:after="120" w:line="276" w:lineRule="auto"/>
        <w:ind w:left="425" w:firstLine="0"/>
        <w:contextualSpacing w:val="0"/>
        <w:rPr>
          <w:rFonts w:eastAsia="Calibri"/>
          <w:bCs/>
          <w:sz w:val="24"/>
          <w:szCs w:val="24"/>
          <w:lang w:val="ro-RO"/>
        </w:rPr>
      </w:pPr>
      <w:r>
        <w:rPr>
          <w:rFonts w:eastAsia="Calibri"/>
          <w:bCs/>
          <w:sz w:val="24"/>
          <w:szCs w:val="24"/>
          <w:lang w:val="ro-RO"/>
        </w:rPr>
        <w:t xml:space="preserve">„1. </w:t>
      </w:r>
      <w:r w:rsidRPr="006F12BB">
        <w:rPr>
          <w:rFonts w:eastAsia="Calibri"/>
          <w:bCs/>
          <w:sz w:val="24"/>
          <w:szCs w:val="24"/>
          <w:lang w:val="ro-RO"/>
        </w:rPr>
        <w:t>Regulile pieței energiei electrice stabilesc principiile, regulile și mecanismele referitoare la formarea prețurilor și relațiile comerciale pe piața angro de energie electrică între participanții la piață de energie electrică, reglementează termenele și condițiile de organizare și funcționare a pieței energiei electrice, inclusiv piața organizată a contractelor bilaterale de energie electrică, piața contractelor bilaterale de energie electrică negociate direct, piața energiei electrice pentru ziua următoare, piața intrazilnică de energie electrică, piața energiei electrice de echilibrare și piața serviciilor de sistem, drepturile și obligațiile producătorilor de energie electrică, furnizorilor de energie electrică, operatorilor sistemelor de distribuție, precum și a operatorului pieței de energie electrică, a operatorului sistemului de transport privind gestionarea piețelor menționate.</w:t>
      </w:r>
      <w:r>
        <w:rPr>
          <w:rFonts w:eastAsia="Calibri"/>
          <w:bCs/>
          <w:sz w:val="24"/>
          <w:szCs w:val="24"/>
          <w:lang w:val="ro-RO"/>
        </w:rPr>
        <w:t>”</w:t>
      </w:r>
      <w:r w:rsidR="00735C54">
        <w:rPr>
          <w:rFonts w:eastAsia="Calibri"/>
          <w:bCs/>
          <w:sz w:val="24"/>
          <w:szCs w:val="24"/>
          <w:lang w:val="ro-RO"/>
        </w:rPr>
        <w:t>;</w:t>
      </w:r>
    </w:p>
    <w:p w14:paraId="3ABC7F2E" w14:textId="68C04A55" w:rsidR="006F12BB" w:rsidRDefault="006F12BB" w:rsidP="00735C54">
      <w:pPr>
        <w:pStyle w:val="ListParagraph"/>
        <w:numPr>
          <w:ilvl w:val="1"/>
          <w:numId w:val="1"/>
        </w:numPr>
        <w:tabs>
          <w:tab w:val="left" w:pos="851"/>
          <w:tab w:val="left" w:pos="1440"/>
        </w:tabs>
        <w:spacing w:before="120" w:after="120" w:line="276" w:lineRule="auto"/>
        <w:ind w:left="425" w:hanging="425"/>
        <w:contextualSpacing w:val="0"/>
        <w:rPr>
          <w:rFonts w:eastAsia="Calibri"/>
          <w:bCs/>
          <w:sz w:val="24"/>
          <w:szCs w:val="24"/>
          <w:lang w:val="ro-RO"/>
        </w:rPr>
      </w:pPr>
      <w:r>
        <w:rPr>
          <w:rFonts w:eastAsia="Calibri"/>
          <w:bCs/>
          <w:sz w:val="24"/>
          <w:szCs w:val="24"/>
          <w:lang w:val="ro-RO"/>
        </w:rPr>
        <w:t xml:space="preserve">Punctul 2 se expune în redacția următoare: </w:t>
      </w:r>
    </w:p>
    <w:p w14:paraId="0B10BB3B" w14:textId="6F73136C" w:rsidR="006F12BB" w:rsidRDefault="006F12BB"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„2. </w:t>
      </w:r>
      <w:r w:rsidRPr="006F12BB">
        <w:rPr>
          <w:rFonts w:eastAsia="Calibri"/>
          <w:bCs/>
          <w:sz w:val="24"/>
          <w:szCs w:val="24"/>
          <w:lang w:val="ro-RO"/>
        </w:rPr>
        <w:t xml:space="preserve">Operatorul pieței energiei electrice </w:t>
      </w:r>
      <w:r w:rsidRPr="00735C54">
        <w:rPr>
          <w:rFonts w:eastAsia="Calibri"/>
          <w:bCs/>
          <w:i/>
          <w:sz w:val="24"/>
          <w:szCs w:val="24"/>
          <w:lang w:val="ro-RO"/>
        </w:rPr>
        <w:t>(în continuare – OPEE)</w:t>
      </w:r>
      <w:r w:rsidRPr="006F12BB">
        <w:rPr>
          <w:rFonts w:eastAsia="Calibri"/>
          <w:bCs/>
          <w:sz w:val="24"/>
          <w:szCs w:val="24"/>
          <w:lang w:val="ro-RO"/>
        </w:rPr>
        <w:t xml:space="preserve"> este responsabil de organizarea și gestionarea pieței zilei următoare </w:t>
      </w:r>
      <w:r w:rsidRPr="00735C54">
        <w:rPr>
          <w:rFonts w:eastAsia="Calibri"/>
          <w:bCs/>
          <w:i/>
          <w:sz w:val="24"/>
          <w:szCs w:val="24"/>
          <w:lang w:val="ro-RO"/>
        </w:rPr>
        <w:t>(în continuare – PZU)</w:t>
      </w:r>
      <w:r w:rsidR="00467DF8">
        <w:rPr>
          <w:rFonts w:eastAsia="Calibri"/>
          <w:bCs/>
          <w:i/>
          <w:sz w:val="24"/>
          <w:szCs w:val="24"/>
          <w:lang w:val="ro-RO"/>
        </w:rPr>
        <w:t>,</w:t>
      </w:r>
      <w:r w:rsidRPr="006F12BB">
        <w:rPr>
          <w:rFonts w:eastAsia="Calibri"/>
          <w:bCs/>
          <w:sz w:val="24"/>
          <w:szCs w:val="24"/>
          <w:lang w:val="ro-RO"/>
        </w:rPr>
        <w:t xml:space="preserve"> a pieței intrazilnice </w:t>
      </w:r>
      <w:r w:rsidRPr="00735C54">
        <w:rPr>
          <w:rFonts w:eastAsia="Calibri"/>
          <w:bCs/>
          <w:i/>
          <w:sz w:val="24"/>
          <w:szCs w:val="24"/>
          <w:lang w:val="ro-RO"/>
        </w:rPr>
        <w:t>(în continuare – PI)</w:t>
      </w:r>
      <w:r w:rsidR="00467DF8">
        <w:rPr>
          <w:rFonts w:eastAsia="Calibri"/>
          <w:bCs/>
          <w:i/>
          <w:sz w:val="24"/>
          <w:szCs w:val="24"/>
          <w:lang w:val="ro-RO"/>
        </w:rPr>
        <w:t>,</w:t>
      </w:r>
      <w:r w:rsidRPr="006F12BB">
        <w:rPr>
          <w:rFonts w:eastAsia="Calibri"/>
          <w:bCs/>
          <w:sz w:val="24"/>
          <w:szCs w:val="24"/>
          <w:lang w:val="ro-RO"/>
        </w:rPr>
        <w:t xml:space="preserve"> a pieței organizate a contractelor bilaterale </w:t>
      </w:r>
      <w:r w:rsidRPr="00735C54">
        <w:rPr>
          <w:rFonts w:eastAsia="Calibri"/>
          <w:bCs/>
          <w:i/>
          <w:sz w:val="24"/>
          <w:szCs w:val="24"/>
          <w:lang w:val="ro-RO"/>
        </w:rPr>
        <w:t>(în continuare – POCB)</w:t>
      </w:r>
      <w:r w:rsidRPr="006F12BB">
        <w:rPr>
          <w:rFonts w:eastAsia="Calibri"/>
          <w:bCs/>
          <w:sz w:val="24"/>
          <w:szCs w:val="24"/>
          <w:lang w:val="ro-RO"/>
        </w:rPr>
        <w:t>, precum și de înregistrarea contractelor bilaterale negociate direct</w:t>
      </w:r>
      <w:r w:rsidR="00467DF8">
        <w:rPr>
          <w:rFonts w:eastAsia="Calibri"/>
          <w:bCs/>
          <w:sz w:val="24"/>
          <w:szCs w:val="24"/>
          <w:lang w:val="ro-RO"/>
        </w:rPr>
        <w:t>,</w:t>
      </w:r>
      <w:r w:rsidRPr="006F12BB">
        <w:rPr>
          <w:rFonts w:eastAsia="Calibri"/>
          <w:bCs/>
          <w:sz w:val="24"/>
          <w:szCs w:val="24"/>
          <w:lang w:val="ro-RO"/>
        </w:rPr>
        <w:t xml:space="preserve"> încheiate de participanții la piața energiei </w:t>
      </w:r>
      <w:r w:rsidRPr="006F12BB">
        <w:rPr>
          <w:rFonts w:eastAsia="Calibri"/>
          <w:bCs/>
          <w:sz w:val="24"/>
          <w:szCs w:val="24"/>
          <w:lang w:val="ro-RO"/>
        </w:rPr>
        <w:lastRenderedPageBreak/>
        <w:t>electrice, în conformitate cu prezentele Reguli. OPEE înregistrează contractele bilaterale negociate direct încheiate de participanții la piața energiei electrice, indiferent de clauzele contractuale prevăzute de acestea.”</w:t>
      </w:r>
      <w:r w:rsidR="00735C54">
        <w:rPr>
          <w:rFonts w:eastAsia="Calibri"/>
          <w:bCs/>
          <w:sz w:val="24"/>
          <w:szCs w:val="24"/>
          <w:lang w:val="ro-RO"/>
        </w:rPr>
        <w:t>;</w:t>
      </w:r>
    </w:p>
    <w:p w14:paraId="09921FCE" w14:textId="1A562D1A" w:rsidR="00997C7E" w:rsidRDefault="00997C7E"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3 se expune în redacția următoare: </w:t>
      </w:r>
    </w:p>
    <w:p w14:paraId="42BFE896" w14:textId="2CBCFC10" w:rsidR="006B1D2B" w:rsidRPr="00735C54" w:rsidRDefault="00997C7E"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„3. </w:t>
      </w:r>
      <w:r w:rsidRPr="00997C7E">
        <w:rPr>
          <w:rFonts w:eastAsia="Calibri"/>
          <w:bCs/>
          <w:sz w:val="24"/>
          <w:szCs w:val="24"/>
          <w:lang w:val="ro-RO"/>
        </w:rPr>
        <w:t>Participanții la POCB, la PZU și la PI, precum și participanții care înregistrează la OPEE contractele bilaterale negociate direct încheiate de participanții la piața energiei electrice, în conformitate cu prezentele Reguli, au obligația să plătească OPEE contravaloarea serviciului de operare a pieței energiei electrice, conform tarifului aprobat de Agenție. În acest sens OPEE emite facturi lunare participanților la piața energiei electrice pentru contravaloarea serviciilor prestate.</w:t>
      </w:r>
      <w:r>
        <w:rPr>
          <w:rFonts w:eastAsia="Calibri"/>
          <w:bCs/>
          <w:sz w:val="24"/>
          <w:szCs w:val="24"/>
          <w:lang w:val="ro-RO"/>
        </w:rPr>
        <w:t>”</w:t>
      </w:r>
      <w:r w:rsidR="00735C54">
        <w:rPr>
          <w:rFonts w:eastAsia="Calibri"/>
          <w:bCs/>
          <w:sz w:val="24"/>
          <w:szCs w:val="24"/>
          <w:lang w:val="ro-RO"/>
        </w:rPr>
        <w:t>;</w:t>
      </w:r>
    </w:p>
    <w:p w14:paraId="7D1497AF" w14:textId="46591065" w:rsidR="006B1D2B" w:rsidRDefault="006B1D2B"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La punctul 12 după cuvintele „participant la” se completează cu „POCB,”; </w:t>
      </w:r>
    </w:p>
    <w:p w14:paraId="36E4F5CE" w14:textId="2E4E66D0" w:rsidR="00103918" w:rsidRDefault="00103918"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19 după cuvântul „bilaterale” se completează cu textul „negociate direct, POCB,”;</w:t>
      </w:r>
    </w:p>
    <w:p w14:paraId="03F5324D" w14:textId="691EC5F4" w:rsidR="00A87F53" w:rsidRDefault="00A87F53"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La punctul 22: </w:t>
      </w:r>
    </w:p>
    <w:p w14:paraId="5C9D212B" w14:textId="77777777" w:rsidR="00735C54" w:rsidRDefault="00735C54"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7E1878E" w14:textId="144AC82A" w:rsidR="006B1D2B" w:rsidRDefault="006B1D2B"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textul „termenii definiți în” se substituie cu cuvântul „noțiunile din” iar textul „următorii termeni și definiții” se substituie cu cuvântul „următoarele” </w:t>
      </w:r>
    </w:p>
    <w:p w14:paraId="13EDA10B" w14:textId="77777777" w:rsidR="00AB137B" w:rsidRDefault="00AB137B"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5E5F32C0" w14:textId="442814F3" w:rsidR="002D7E79" w:rsidRPr="00735C54" w:rsidRDefault="006B1D2B" w:rsidP="002D7E79">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se exclud noțiuni</w:t>
      </w:r>
      <w:r w:rsidR="00AB137B">
        <w:rPr>
          <w:rFonts w:eastAsia="Calibri"/>
          <w:bCs/>
          <w:sz w:val="24"/>
          <w:szCs w:val="24"/>
          <w:lang w:val="ro-RO"/>
        </w:rPr>
        <w:t>le</w:t>
      </w:r>
      <w:r w:rsidR="002D7E79">
        <w:rPr>
          <w:rFonts w:eastAsia="Calibri"/>
          <w:bCs/>
          <w:sz w:val="24"/>
          <w:szCs w:val="24"/>
          <w:lang w:val="ro-RO"/>
        </w:rPr>
        <w:t>:</w:t>
      </w:r>
      <w:r>
        <w:rPr>
          <w:rFonts w:eastAsia="Calibri"/>
          <w:bCs/>
          <w:sz w:val="24"/>
          <w:szCs w:val="24"/>
          <w:lang w:val="ro-RO"/>
        </w:rPr>
        <w:t xml:space="preserve"> </w:t>
      </w:r>
      <w:r w:rsidR="002D7E79" w:rsidRPr="002D7E79">
        <w:rPr>
          <w:rFonts w:eastAsia="Calibri"/>
          <w:bCs/>
          <w:sz w:val="24"/>
          <w:szCs w:val="24"/>
          <w:lang w:val="ro-RO"/>
        </w:rPr>
        <w:t>„caracteristici tehnice”,</w:t>
      </w:r>
      <w:r w:rsidR="002D7E79">
        <w:rPr>
          <w:rFonts w:eastAsia="Calibri"/>
          <w:bCs/>
          <w:sz w:val="24"/>
          <w:szCs w:val="24"/>
          <w:lang w:val="ro-RO"/>
        </w:rPr>
        <w:t xml:space="preserve"> </w:t>
      </w:r>
      <w:r w:rsidR="002D7E79" w:rsidRPr="00735C54">
        <w:rPr>
          <w:rFonts w:eastAsia="Calibri"/>
          <w:bCs/>
          <w:sz w:val="24"/>
          <w:szCs w:val="24"/>
          <w:lang w:val="ro-RO"/>
        </w:rPr>
        <w:t>„cod de identificare pe piața energiei electrice de echilibrare”,</w:t>
      </w:r>
      <w:r w:rsidR="002D7E79">
        <w:rPr>
          <w:rFonts w:eastAsia="Calibri"/>
          <w:bCs/>
          <w:sz w:val="24"/>
          <w:szCs w:val="24"/>
          <w:lang w:val="ro-RO"/>
        </w:rPr>
        <w:t xml:space="preserve"> </w:t>
      </w:r>
      <w:r w:rsidR="002D7E79" w:rsidRPr="00735C54">
        <w:rPr>
          <w:rFonts w:eastAsia="Calibri"/>
          <w:bCs/>
          <w:sz w:val="24"/>
          <w:szCs w:val="24"/>
          <w:lang w:val="ro-RO"/>
        </w:rPr>
        <w:t>„costuri de pornire”,</w:t>
      </w:r>
      <w:r w:rsidR="002D7E79">
        <w:rPr>
          <w:rFonts w:eastAsia="Calibri"/>
          <w:bCs/>
          <w:sz w:val="24"/>
          <w:szCs w:val="24"/>
          <w:lang w:val="ro-RO"/>
        </w:rPr>
        <w:t xml:space="preserve"> </w:t>
      </w:r>
      <w:r w:rsidR="002D7E79" w:rsidRPr="00735C54">
        <w:rPr>
          <w:rFonts w:eastAsia="Calibri"/>
          <w:bCs/>
          <w:sz w:val="24"/>
          <w:szCs w:val="24"/>
          <w:lang w:val="ro-RO"/>
        </w:rPr>
        <w:t>„declarație de disponibilitate”,</w:t>
      </w:r>
      <w:r w:rsidR="002D7E79">
        <w:rPr>
          <w:rFonts w:eastAsia="Calibri"/>
          <w:bCs/>
          <w:sz w:val="24"/>
          <w:szCs w:val="24"/>
          <w:lang w:val="ro-RO"/>
        </w:rPr>
        <w:t xml:space="preserve"> </w:t>
      </w:r>
      <w:r w:rsidR="002D7E79" w:rsidRPr="00735C54">
        <w:rPr>
          <w:rFonts w:eastAsia="Calibri"/>
          <w:bCs/>
          <w:sz w:val="24"/>
          <w:szCs w:val="24"/>
          <w:lang w:val="ro-RO"/>
        </w:rPr>
        <w:t>„dispoziție de dispecer”,</w:t>
      </w:r>
      <w:r w:rsidR="002D7E79">
        <w:rPr>
          <w:rFonts w:eastAsia="Calibri"/>
          <w:bCs/>
          <w:sz w:val="24"/>
          <w:szCs w:val="24"/>
          <w:lang w:val="ro-RO"/>
        </w:rPr>
        <w:t xml:space="preserve"> </w:t>
      </w:r>
      <w:r w:rsidR="002D7E79" w:rsidRPr="00735C54">
        <w:rPr>
          <w:rFonts w:eastAsia="Calibri"/>
          <w:bCs/>
          <w:sz w:val="24"/>
          <w:szCs w:val="24"/>
          <w:lang w:val="ro-RO"/>
        </w:rPr>
        <w:t>„echipament de măsurare a energiei electrice pe interval”,</w:t>
      </w:r>
      <w:r w:rsidR="002D7E79">
        <w:rPr>
          <w:rFonts w:eastAsia="Calibri"/>
          <w:bCs/>
          <w:sz w:val="24"/>
          <w:szCs w:val="24"/>
          <w:lang w:val="ro-RO"/>
        </w:rPr>
        <w:t xml:space="preserve"> </w:t>
      </w:r>
      <w:r w:rsidR="002D7E79" w:rsidRPr="00735C54">
        <w:rPr>
          <w:rFonts w:eastAsia="Calibri"/>
          <w:bCs/>
          <w:sz w:val="24"/>
          <w:szCs w:val="24"/>
          <w:lang w:val="ro-RO"/>
        </w:rPr>
        <w:t>„energie electrică disponibilă pentru echilibrare”,</w:t>
      </w:r>
      <w:r w:rsidR="002D7E79">
        <w:rPr>
          <w:rFonts w:eastAsia="Calibri"/>
          <w:bCs/>
          <w:sz w:val="24"/>
          <w:szCs w:val="24"/>
          <w:lang w:val="ro-RO"/>
        </w:rPr>
        <w:t xml:space="preserve"> </w:t>
      </w:r>
      <w:r w:rsidR="002D7E79" w:rsidRPr="00735C54">
        <w:rPr>
          <w:rFonts w:eastAsia="Calibri"/>
          <w:bCs/>
          <w:sz w:val="24"/>
          <w:szCs w:val="24"/>
          <w:lang w:val="ro-RO"/>
        </w:rPr>
        <w:t>„furnizor de servicii de echilibrare”,</w:t>
      </w:r>
      <w:r w:rsidR="002D7E79">
        <w:rPr>
          <w:rFonts w:eastAsia="Calibri"/>
          <w:bCs/>
          <w:sz w:val="24"/>
          <w:szCs w:val="24"/>
          <w:lang w:val="ro-RO"/>
        </w:rPr>
        <w:t xml:space="preserve"> </w:t>
      </w:r>
      <w:r w:rsidR="002D7E79" w:rsidRPr="00735C54">
        <w:rPr>
          <w:rFonts w:eastAsia="Calibri"/>
          <w:bCs/>
          <w:sz w:val="24"/>
          <w:szCs w:val="24"/>
          <w:lang w:val="ro-RO"/>
        </w:rPr>
        <w:t>„interval de echilibrare”,</w:t>
      </w:r>
      <w:r w:rsidR="002D7E79">
        <w:rPr>
          <w:rFonts w:eastAsia="Calibri"/>
          <w:bCs/>
          <w:sz w:val="24"/>
          <w:szCs w:val="24"/>
          <w:lang w:val="ro-RO"/>
        </w:rPr>
        <w:t xml:space="preserve"> </w:t>
      </w:r>
      <w:r w:rsidR="002D7E79" w:rsidRPr="00735C54">
        <w:rPr>
          <w:rFonts w:eastAsia="Calibri"/>
          <w:bCs/>
          <w:sz w:val="24"/>
          <w:szCs w:val="24"/>
          <w:lang w:val="ro-RO"/>
        </w:rPr>
        <w:t>„notă de decontare lunară”,</w:t>
      </w:r>
      <w:r w:rsidR="002D7E79">
        <w:rPr>
          <w:rFonts w:eastAsia="Calibri"/>
          <w:bCs/>
          <w:sz w:val="24"/>
          <w:szCs w:val="24"/>
          <w:lang w:val="ro-RO"/>
        </w:rPr>
        <w:t xml:space="preserve"> </w:t>
      </w:r>
      <w:r w:rsidR="002D7E79" w:rsidRPr="00735C54">
        <w:rPr>
          <w:rFonts w:eastAsia="Calibri"/>
          <w:bCs/>
          <w:sz w:val="24"/>
          <w:szCs w:val="24"/>
          <w:lang w:val="ro-RO"/>
        </w:rPr>
        <w:t>„notificare fizică aprobată”,</w:t>
      </w:r>
      <w:r w:rsidR="002D7E79">
        <w:rPr>
          <w:rFonts w:eastAsia="Calibri"/>
          <w:bCs/>
          <w:sz w:val="24"/>
          <w:szCs w:val="24"/>
          <w:lang w:val="ro-RO"/>
        </w:rPr>
        <w:t xml:space="preserve"> </w:t>
      </w:r>
      <w:r w:rsidR="002D7E79" w:rsidRPr="00735C54">
        <w:rPr>
          <w:rFonts w:eastAsia="Calibri"/>
          <w:bCs/>
          <w:sz w:val="24"/>
          <w:szCs w:val="24"/>
          <w:lang w:val="ro-RO"/>
        </w:rPr>
        <w:t>„oră de închidere a pieței energiei electrice de echilibrare”,</w:t>
      </w:r>
    </w:p>
    <w:p w14:paraId="6B1EBA2C" w14:textId="1FA81361" w:rsidR="00A87F53" w:rsidRPr="00735C54" w:rsidRDefault="002D7E7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E79">
        <w:rPr>
          <w:rFonts w:eastAsia="Calibri"/>
          <w:bCs/>
          <w:sz w:val="24"/>
          <w:szCs w:val="24"/>
          <w:lang w:val="ro-RO"/>
        </w:rPr>
        <w:t>„perioadă de achiziție” ,</w:t>
      </w:r>
      <w:r>
        <w:rPr>
          <w:rFonts w:eastAsia="Calibri"/>
          <w:bCs/>
          <w:sz w:val="24"/>
          <w:szCs w:val="24"/>
          <w:lang w:val="ro-RO"/>
        </w:rPr>
        <w:t xml:space="preserve"> </w:t>
      </w:r>
      <w:r w:rsidRPr="00735C54">
        <w:rPr>
          <w:rFonts w:eastAsia="Calibri"/>
          <w:bCs/>
          <w:sz w:val="24"/>
          <w:szCs w:val="24"/>
          <w:lang w:val="ro-RO"/>
        </w:rPr>
        <w:t>„perioadă de pornire”,</w:t>
      </w:r>
      <w:r>
        <w:rPr>
          <w:rFonts w:eastAsia="Calibri"/>
          <w:bCs/>
          <w:sz w:val="24"/>
          <w:szCs w:val="24"/>
          <w:lang w:val="ro-RO"/>
        </w:rPr>
        <w:t xml:space="preserve"> </w:t>
      </w:r>
      <w:r w:rsidRPr="00735C54">
        <w:rPr>
          <w:rFonts w:eastAsia="Calibri"/>
          <w:bCs/>
          <w:sz w:val="24"/>
          <w:szCs w:val="24"/>
          <w:lang w:val="ro-RO"/>
        </w:rPr>
        <w:t>„pornirea unității de producere,</w:t>
      </w:r>
      <w:r>
        <w:rPr>
          <w:rFonts w:eastAsia="Calibri"/>
          <w:bCs/>
          <w:sz w:val="24"/>
          <w:szCs w:val="24"/>
          <w:lang w:val="ro-RO"/>
        </w:rPr>
        <w:t xml:space="preserve"> </w:t>
      </w:r>
      <w:r w:rsidRPr="00735C54">
        <w:rPr>
          <w:rFonts w:eastAsia="Calibri"/>
          <w:bCs/>
          <w:sz w:val="24"/>
          <w:szCs w:val="24"/>
          <w:lang w:val="ro-RO"/>
        </w:rPr>
        <w:t>„poziția netă contractuală a unei PRE/grup de echilibrare”,</w:t>
      </w:r>
      <w:r>
        <w:rPr>
          <w:rFonts w:eastAsia="Calibri"/>
          <w:bCs/>
          <w:sz w:val="24"/>
          <w:szCs w:val="24"/>
          <w:lang w:val="ro-RO"/>
        </w:rPr>
        <w:t xml:space="preserve"> </w:t>
      </w:r>
      <w:r w:rsidRPr="00735C54">
        <w:rPr>
          <w:rFonts w:eastAsia="Calibri"/>
          <w:bCs/>
          <w:sz w:val="24"/>
          <w:szCs w:val="24"/>
          <w:lang w:val="ro-RO"/>
        </w:rPr>
        <w:t>„poziția netă măsurată a unei PRE/grup de echilibrare”,</w:t>
      </w:r>
      <w:r>
        <w:rPr>
          <w:rFonts w:eastAsia="Calibri"/>
          <w:bCs/>
          <w:sz w:val="24"/>
          <w:szCs w:val="24"/>
          <w:lang w:val="ro-RO"/>
        </w:rPr>
        <w:t xml:space="preserve"> </w:t>
      </w:r>
      <w:r w:rsidRPr="00735C54">
        <w:rPr>
          <w:rFonts w:eastAsia="Calibri"/>
          <w:bCs/>
          <w:sz w:val="24"/>
          <w:szCs w:val="24"/>
          <w:lang w:val="ro-RO"/>
        </w:rPr>
        <w:t>„prețul pentru deficit de energie electrică”,</w:t>
      </w:r>
      <w:r>
        <w:rPr>
          <w:rFonts w:eastAsia="Calibri"/>
          <w:bCs/>
          <w:sz w:val="24"/>
          <w:szCs w:val="24"/>
          <w:lang w:val="ro-RO"/>
        </w:rPr>
        <w:t xml:space="preserve"> </w:t>
      </w:r>
      <w:r w:rsidRPr="00735C54">
        <w:rPr>
          <w:rFonts w:eastAsia="Calibri"/>
          <w:bCs/>
          <w:sz w:val="24"/>
          <w:szCs w:val="24"/>
          <w:lang w:val="ro-RO"/>
        </w:rPr>
        <w:t>„prețul pentru excedent de energie electrică”,</w:t>
      </w:r>
      <w:r>
        <w:rPr>
          <w:rFonts w:eastAsia="Calibri"/>
          <w:bCs/>
          <w:sz w:val="24"/>
          <w:szCs w:val="24"/>
          <w:lang w:val="ro-RO"/>
        </w:rPr>
        <w:t xml:space="preserve"> </w:t>
      </w:r>
      <w:r w:rsidRPr="00735C54">
        <w:rPr>
          <w:rFonts w:eastAsia="Calibri"/>
          <w:bCs/>
          <w:sz w:val="24"/>
          <w:szCs w:val="24"/>
          <w:lang w:val="ro-RO"/>
        </w:rPr>
        <w:t>„procesul de restabilire automată a frecvenței”,</w:t>
      </w:r>
      <w:r>
        <w:rPr>
          <w:rFonts w:eastAsia="Calibri"/>
          <w:bCs/>
          <w:sz w:val="24"/>
          <w:szCs w:val="24"/>
          <w:lang w:val="ro-RO"/>
        </w:rPr>
        <w:t xml:space="preserve"> </w:t>
      </w:r>
      <w:r w:rsidRPr="00735C54">
        <w:rPr>
          <w:rFonts w:eastAsia="Calibri"/>
          <w:bCs/>
          <w:sz w:val="24"/>
          <w:szCs w:val="24"/>
          <w:lang w:val="ro-RO"/>
        </w:rPr>
        <w:t>„procesul de restabilire manuală a frecvenței”,</w:t>
      </w:r>
      <w:r>
        <w:rPr>
          <w:rFonts w:eastAsia="Calibri"/>
          <w:bCs/>
          <w:sz w:val="24"/>
          <w:szCs w:val="24"/>
          <w:lang w:val="ro-RO"/>
        </w:rPr>
        <w:t xml:space="preserve"> </w:t>
      </w:r>
      <w:r w:rsidRPr="00735C54">
        <w:rPr>
          <w:rFonts w:eastAsia="Calibri"/>
          <w:bCs/>
          <w:sz w:val="24"/>
          <w:szCs w:val="24"/>
          <w:lang w:val="ro-RO"/>
        </w:rPr>
        <w:t>„procesul de stabilizare a frecvenței”,</w:t>
      </w:r>
      <w:r>
        <w:rPr>
          <w:rFonts w:eastAsia="Calibri"/>
          <w:bCs/>
          <w:sz w:val="24"/>
          <w:szCs w:val="24"/>
          <w:lang w:val="ro-RO"/>
        </w:rPr>
        <w:t xml:space="preserve"> </w:t>
      </w:r>
      <w:r w:rsidRPr="00735C54">
        <w:rPr>
          <w:rFonts w:eastAsia="Calibri"/>
          <w:bCs/>
          <w:sz w:val="24"/>
          <w:szCs w:val="24"/>
          <w:lang w:val="ro-RO"/>
        </w:rPr>
        <w:t>„producție netă”,</w:t>
      </w:r>
      <w:r>
        <w:rPr>
          <w:rFonts w:eastAsia="Calibri"/>
          <w:bCs/>
          <w:sz w:val="24"/>
          <w:szCs w:val="24"/>
          <w:lang w:val="ro-RO"/>
        </w:rPr>
        <w:t xml:space="preserve"> </w:t>
      </w:r>
      <w:r w:rsidRPr="00735C54">
        <w:rPr>
          <w:rFonts w:eastAsia="Calibri"/>
          <w:bCs/>
          <w:sz w:val="24"/>
          <w:szCs w:val="24"/>
          <w:lang w:val="ro-RO"/>
        </w:rPr>
        <w:t>„sistemul pieței energiei de echilibrare”,</w:t>
      </w:r>
      <w:r>
        <w:rPr>
          <w:rFonts w:eastAsia="Calibri"/>
          <w:bCs/>
          <w:sz w:val="24"/>
          <w:szCs w:val="24"/>
          <w:lang w:val="ro-RO"/>
        </w:rPr>
        <w:t xml:space="preserve"> </w:t>
      </w:r>
      <w:r w:rsidRPr="00735C54">
        <w:rPr>
          <w:rFonts w:eastAsia="Calibri"/>
          <w:bCs/>
          <w:sz w:val="24"/>
          <w:szCs w:val="24"/>
          <w:lang w:val="ro-RO"/>
        </w:rPr>
        <w:t>„unitate de furnizare a rezervelor (UFR) ”,</w:t>
      </w:r>
      <w:r>
        <w:rPr>
          <w:rFonts w:eastAsia="Calibri"/>
          <w:bCs/>
          <w:sz w:val="24"/>
          <w:szCs w:val="24"/>
          <w:lang w:val="ro-RO"/>
        </w:rPr>
        <w:t xml:space="preserve"> </w:t>
      </w:r>
      <w:r w:rsidRPr="00735C54">
        <w:rPr>
          <w:rFonts w:eastAsia="Calibri"/>
          <w:bCs/>
          <w:sz w:val="24"/>
          <w:szCs w:val="24"/>
          <w:lang w:val="ro-RO"/>
        </w:rPr>
        <w:t>„valoare măsurată”,</w:t>
      </w:r>
      <w:r w:rsidR="00735C54">
        <w:rPr>
          <w:rFonts w:eastAsia="Calibri"/>
          <w:bCs/>
          <w:sz w:val="24"/>
          <w:szCs w:val="24"/>
          <w:lang w:val="ro-RO"/>
        </w:rPr>
        <w:t xml:space="preserve"> „viteză de variație a sarcinii”;</w:t>
      </w:r>
    </w:p>
    <w:p w14:paraId="44E1D2CB" w14:textId="77777777" w:rsidR="00AB137B" w:rsidRDefault="00AB137B"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A11B908" w14:textId="2BEB1078" w:rsidR="006B1D2B" w:rsidRPr="00E03193" w:rsidRDefault="006B1D2B"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se completează cu noțiunea </w:t>
      </w:r>
      <w:r w:rsidRPr="00735C54">
        <w:rPr>
          <w:rFonts w:eastAsia="Calibri"/>
          <w:bCs/>
          <w:i/>
          <w:sz w:val="24"/>
          <w:szCs w:val="24"/>
          <w:lang w:val="ro-RO"/>
        </w:rPr>
        <w:t>„piața organizată a contractelor bilaterale”</w:t>
      </w:r>
      <w:r>
        <w:rPr>
          <w:rFonts w:eastAsia="Calibri"/>
          <w:bCs/>
          <w:sz w:val="24"/>
          <w:szCs w:val="24"/>
          <w:lang w:val="ro-RO"/>
        </w:rPr>
        <w:t xml:space="preserve"> cu următorul conținut: „</w:t>
      </w:r>
      <w:r w:rsidRPr="00735C54">
        <w:rPr>
          <w:rFonts w:eastAsia="Calibri"/>
          <w:bCs/>
          <w:i/>
          <w:sz w:val="24"/>
          <w:szCs w:val="24"/>
          <w:lang w:val="ro-RO"/>
        </w:rPr>
        <w:t>piața organizată a contractelor bilaterale</w:t>
      </w:r>
      <w:r>
        <w:rPr>
          <w:rFonts w:eastAsia="Calibri"/>
          <w:bCs/>
          <w:sz w:val="24"/>
          <w:szCs w:val="24"/>
          <w:lang w:val="ro-RO"/>
        </w:rPr>
        <w:t xml:space="preserve"> - </w:t>
      </w:r>
      <w:r w:rsidRPr="006B1D2B">
        <w:rPr>
          <w:rFonts w:eastAsia="Calibri"/>
          <w:bCs/>
          <w:sz w:val="24"/>
          <w:szCs w:val="24"/>
          <w:lang w:val="ro-RO"/>
        </w:rPr>
        <w:t>piață organizată pentru încheierea între participanții la piață, în mod transparent, prin licitație publică, a contractelor cu livrare fizică de energie electrică, organizată și administrată de operatorul pieței energiei electrice, având ca bază ofertarea publică și nediscriminatorie, cu scopul de a contracta energia electrică pe termen determinat, la un preț transparent, rezultat din echilibrul cererii și al ofertei;</w:t>
      </w:r>
      <w:r>
        <w:rPr>
          <w:rFonts w:eastAsia="Calibri"/>
          <w:bCs/>
          <w:sz w:val="24"/>
          <w:szCs w:val="24"/>
          <w:lang w:val="ro-RO"/>
        </w:rPr>
        <w:t>”</w:t>
      </w:r>
    </w:p>
    <w:p w14:paraId="48F374E9" w14:textId="77777777" w:rsidR="00C94EB4" w:rsidRPr="00E03193" w:rsidRDefault="00C94EB4" w:rsidP="00C94EB4">
      <w:pPr>
        <w:pStyle w:val="ListParagraph"/>
        <w:tabs>
          <w:tab w:val="left" w:pos="851"/>
          <w:tab w:val="left" w:pos="1440"/>
        </w:tabs>
        <w:spacing w:before="120" w:after="120" w:line="276" w:lineRule="auto"/>
        <w:ind w:left="426" w:firstLine="0"/>
        <w:rPr>
          <w:rFonts w:eastAsia="Calibri"/>
          <w:bCs/>
          <w:sz w:val="24"/>
          <w:szCs w:val="24"/>
          <w:lang w:val="ro-RO"/>
        </w:rPr>
      </w:pPr>
    </w:p>
    <w:p w14:paraId="2AF8646E" w14:textId="42E8D641" w:rsidR="00AD49B0" w:rsidRDefault="00AD49B0"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23 după cuvântul „voluntar” se completează cu textul „în tranzacții pe piața organizată a contractelor bilaterale sau”;</w:t>
      </w:r>
    </w:p>
    <w:p w14:paraId="4B76D81F" w14:textId="77777777" w:rsidR="00AD49B0" w:rsidRDefault="00AD49B0" w:rsidP="00735C54">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25 se expune în redacția următoare: </w:t>
      </w:r>
    </w:p>
    <w:p w14:paraId="12CA1DFE" w14:textId="6832D650" w:rsidR="00AD49B0" w:rsidRDefault="00AD49B0"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AD49B0">
        <w:rPr>
          <w:rFonts w:eastAsia="Calibri"/>
          <w:bCs/>
          <w:sz w:val="24"/>
          <w:szCs w:val="24"/>
          <w:lang w:val="ro-RO"/>
        </w:rPr>
        <w:t>25. 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(piața organizată a contractelor bilaterale) sau al negocierilor (contracte bilaterale negociate direct).</w:t>
      </w:r>
      <w:r>
        <w:rPr>
          <w:rFonts w:eastAsia="Calibri"/>
          <w:bCs/>
          <w:sz w:val="24"/>
          <w:szCs w:val="24"/>
          <w:lang w:val="ro-RO"/>
        </w:rPr>
        <w:t>”</w:t>
      </w:r>
      <w:r w:rsidR="00735C54">
        <w:rPr>
          <w:rFonts w:eastAsia="Calibri"/>
          <w:bCs/>
          <w:sz w:val="24"/>
          <w:szCs w:val="24"/>
          <w:lang w:val="ro-RO"/>
        </w:rPr>
        <w:t>;</w:t>
      </w:r>
    </w:p>
    <w:p w14:paraId="64352A31" w14:textId="77777777" w:rsidR="0089630E" w:rsidRDefault="0089630E"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26 se expune în redacția următoare: </w:t>
      </w:r>
    </w:p>
    <w:p w14:paraId="7002AA9E" w14:textId="71B39974" w:rsidR="00FB4070" w:rsidRDefault="0089630E"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lastRenderedPageBreak/>
        <w:t xml:space="preserve">„26. </w:t>
      </w:r>
      <w:r w:rsidRPr="0089630E">
        <w:rPr>
          <w:rFonts w:eastAsia="Calibri"/>
          <w:bCs/>
          <w:sz w:val="24"/>
          <w:szCs w:val="24"/>
          <w:lang w:val="ro-RO"/>
        </w:rPr>
        <w:t>În scopul implementării unor mecanisme concurențiale, tranzacționarea în regim concurențial a energiei electrice de către furnizorii serviciului universal, furnizorii de ultimă opțiune, furnizorii cărora le-a fost impusa obligația de asigurare a serviciului public și operatorii de sistem este realizată prin intermediul POCB, PZU și PI.</w:t>
      </w:r>
      <w:r>
        <w:rPr>
          <w:rFonts w:eastAsia="Calibri"/>
          <w:bCs/>
          <w:sz w:val="24"/>
          <w:szCs w:val="24"/>
          <w:lang w:val="ro-RO"/>
        </w:rPr>
        <w:t>”;</w:t>
      </w:r>
    </w:p>
    <w:p w14:paraId="161757E5" w14:textId="1D5FB7B3" w:rsidR="00FB4070" w:rsidRDefault="00FB4070"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Punctele 27, 28, 28</w:t>
      </w:r>
      <w:r w:rsidRPr="00735C54">
        <w:rPr>
          <w:rFonts w:eastAsia="Calibri"/>
          <w:bCs/>
          <w:sz w:val="24"/>
          <w:szCs w:val="24"/>
          <w:vertAlign w:val="superscript"/>
          <w:lang w:val="ro-RO"/>
        </w:rPr>
        <w:t>1</w:t>
      </w:r>
      <w:r>
        <w:rPr>
          <w:rFonts w:eastAsia="Calibri"/>
          <w:bCs/>
          <w:sz w:val="24"/>
          <w:szCs w:val="24"/>
          <w:lang w:val="ro-RO"/>
        </w:rPr>
        <w:t xml:space="preserve"> – 28</w:t>
      </w:r>
      <w:r>
        <w:rPr>
          <w:rFonts w:eastAsia="Calibri"/>
          <w:bCs/>
          <w:sz w:val="24"/>
          <w:szCs w:val="24"/>
          <w:vertAlign w:val="superscript"/>
          <w:lang w:val="ro-RO"/>
        </w:rPr>
        <w:t xml:space="preserve">3 </w:t>
      </w:r>
      <w:r>
        <w:rPr>
          <w:rFonts w:eastAsia="Calibri"/>
          <w:bCs/>
          <w:sz w:val="24"/>
          <w:szCs w:val="24"/>
          <w:lang w:val="ro-RO"/>
        </w:rPr>
        <w:t>se exclud;</w:t>
      </w:r>
    </w:p>
    <w:p w14:paraId="363F4C33" w14:textId="632D07A1" w:rsidR="00FB4070" w:rsidRDefault="00C31615" w:rsidP="00735C54">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735C54">
        <w:rPr>
          <w:rFonts w:eastAsia="Calibri"/>
          <w:bCs/>
          <w:sz w:val="24"/>
          <w:szCs w:val="24"/>
          <w:lang w:val="ro-RO"/>
        </w:rPr>
        <w:t>Titlul II se completează cu Capito</w:t>
      </w:r>
      <w:r w:rsidR="009B502D">
        <w:rPr>
          <w:rFonts w:eastAsia="Calibri"/>
          <w:bCs/>
          <w:sz w:val="24"/>
          <w:szCs w:val="24"/>
          <w:lang w:val="ro-RO"/>
        </w:rPr>
        <w:t>lele</w:t>
      </w:r>
      <w:r w:rsidRPr="00735C54">
        <w:rPr>
          <w:rFonts w:eastAsia="Calibri"/>
          <w:bCs/>
          <w:sz w:val="24"/>
          <w:szCs w:val="24"/>
          <w:lang w:val="ro-RO"/>
        </w:rPr>
        <w:t xml:space="preserve"> </w:t>
      </w:r>
      <w:r w:rsidR="009B502D">
        <w:rPr>
          <w:rFonts w:eastAsia="Calibri"/>
          <w:bCs/>
          <w:sz w:val="24"/>
          <w:szCs w:val="24"/>
          <w:lang w:val="ro-RO"/>
        </w:rPr>
        <w:t>I</w:t>
      </w:r>
      <w:r w:rsidRPr="00735C54">
        <w:rPr>
          <w:rFonts w:eastAsia="Calibri"/>
          <w:bCs/>
          <w:sz w:val="24"/>
          <w:szCs w:val="24"/>
          <w:vertAlign w:val="superscript"/>
          <w:lang w:val="ro-RO"/>
        </w:rPr>
        <w:t>1</w:t>
      </w:r>
      <w:r w:rsidR="009B502D">
        <w:rPr>
          <w:rFonts w:eastAsia="Calibri"/>
          <w:bCs/>
          <w:sz w:val="24"/>
          <w:szCs w:val="24"/>
          <w:lang w:val="ro-RO"/>
        </w:rPr>
        <w:t xml:space="preserve"> – I</w:t>
      </w:r>
      <w:r w:rsidR="009B502D" w:rsidRPr="00735C54">
        <w:rPr>
          <w:rFonts w:eastAsia="Calibri"/>
          <w:bCs/>
          <w:sz w:val="24"/>
          <w:szCs w:val="24"/>
          <w:vertAlign w:val="superscript"/>
          <w:lang w:val="ro-RO"/>
        </w:rPr>
        <w:t>8</w:t>
      </w:r>
      <w:r w:rsidRPr="00735C54">
        <w:rPr>
          <w:rFonts w:eastAsia="Calibri"/>
          <w:bCs/>
          <w:sz w:val="24"/>
          <w:szCs w:val="24"/>
          <w:lang w:val="ro-RO"/>
        </w:rPr>
        <w:t xml:space="preserve"> cu</w:t>
      </w:r>
      <w:r w:rsidR="008024A7">
        <w:rPr>
          <w:rFonts w:eastAsia="Calibri"/>
          <w:bCs/>
          <w:sz w:val="24"/>
          <w:szCs w:val="24"/>
          <w:lang w:val="ro-RO"/>
        </w:rPr>
        <w:t xml:space="preserve"> următorul</w:t>
      </w:r>
      <w:r w:rsidRPr="00735C54">
        <w:rPr>
          <w:rFonts w:eastAsia="Calibri"/>
          <w:bCs/>
          <w:sz w:val="24"/>
          <w:szCs w:val="24"/>
          <w:lang w:val="ro-RO"/>
        </w:rPr>
        <w:t xml:space="preserve"> conținut: </w:t>
      </w:r>
    </w:p>
    <w:p w14:paraId="77719B7E" w14:textId="77777777"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0D0F40BA" w14:textId="5C672BA8" w:rsidR="009B502D"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442498">
        <w:rPr>
          <w:rFonts w:eastAsia="Calibri"/>
          <w:bCs/>
          <w:sz w:val="24"/>
          <w:szCs w:val="24"/>
          <w:lang w:val="ro-RO"/>
        </w:rPr>
        <w:t>Capito</w:t>
      </w:r>
      <w:r>
        <w:rPr>
          <w:rFonts w:eastAsia="Calibri"/>
          <w:bCs/>
          <w:sz w:val="24"/>
          <w:szCs w:val="24"/>
          <w:lang w:val="ro-RO"/>
        </w:rPr>
        <w:t>lul</w:t>
      </w:r>
      <w:r w:rsidRPr="00442498">
        <w:rPr>
          <w:rFonts w:eastAsia="Calibri"/>
          <w:bCs/>
          <w:sz w:val="24"/>
          <w:szCs w:val="24"/>
          <w:lang w:val="ro-RO"/>
        </w:rPr>
        <w:t xml:space="preserve"> 1</w:t>
      </w:r>
      <w:r w:rsidRPr="00442498">
        <w:rPr>
          <w:rFonts w:eastAsia="Calibri"/>
          <w:bCs/>
          <w:sz w:val="24"/>
          <w:szCs w:val="24"/>
          <w:vertAlign w:val="superscript"/>
          <w:lang w:val="ro-RO"/>
        </w:rPr>
        <w:t>1</w:t>
      </w:r>
      <w:r>
        <w:rPr>
          <w:rFonts w:eastAsia="Calibri"/>
          <w:bCs/>
          <w:sz w:val="24"/>
          <w:szCs w:val="24"/>
          <w:lang w:val="ro-RO"/>
        </w:rPr>
        <w:t xml:space="preserve"> </w:t>
      </w:r>
      <w:r w:rsidRPr="009B502D">
        <w:rPr>
          <w:rFonts w:eastAsia="Calibri"/>
          <w:bCs/>
          <w:sz w:val="24"/>
          <w:szCs w:val="24"/>
          <w:lang w:val="ro-RO"/>
        </w:rPr>
        <w:t>Prevederi generale privind piața organizată a contractelor bilaterale</w:t>
      </w:r>
    </w:p>
    <w:p w14:paraId="7D02A1AC" w14:textId="77777777" w:rsidR="00C7640F" w:rsidRPr="009B502D"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709ADAE" w14:textId="77777777" w:rsidR="00F9401C" w:rsidRPr="00F9401C" w:rsidRDefault="00C31615" w:rsidP="00F9401C">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00F9401C" w:rsidRPr="00F9401C">
        <w:rPr>
          <w:rFonts w:eastAsia="Calibri"/>
          <w:bCs/>
          <w:sz w:val="24"/>
          <w:szCs w:val="24"/>
          <w:lang w:val="ro-RO"/>
        </w:rPr>
        <w:t>32</w:t>
      </w:r>
      <w:r w:rsidR="00F9401C" w:rsidRPr="00735C54">
        <w:rPr>
          <w:rFonts w:eastAsia="Calibri"/>
          <w:bCs/>
          <w:sz w:val="24"/>
          <w:szCs w:val="24"/>
          <w:vertAlign w:val="superscript"/>
          <w:lang w:val="ro-RO"/>
        </w:rPr>
        <w:t>1</w:t>
      </w:r>
      <w:r w:rsidR="00F9401C" w:rsidRPr="00F9401C">
        <w:rPr>
          <w:rFonts w:eastAsia="Calibri"/>
          <w:bCs/>
          <w:sz w:val="24"/>
          <w:szCs w:val="24"/>
          <w:lang w:val="ro-RO"/>
        </w:rPr>
        <w:t>. OPEE organizează și administrează piața organizată a contractelor bilaterale pe baza principiilor de nediscriminare, transparență, caracter public.</w:t>
      </w:r>
    </w:p>
    <w:p w14:paraId="4958D9AE" w14:textId="0CC13EBA" w:rsidR="00F9401C" w:rsidRDefault="00F9401C" w:rsidP="00F9401C">
      <w:pPr>
        <w:pStyle w:val="ListParagraph"/>
        <w:tabs>
          <w:tab w:val="left" w:pos="851"/>
          <w:tab w:val="left" w:pos="1440"/>
        </w:tabs>
        <w:spacing w:before="120" w:after="120" w:line="276" w:lineRule="auto"/>
        <w:ind w:left="426" w:firstLine="0"/>
        <w:rPr>
          <w:rFonts w:eastAsia="Calibri"/>
          <w:bCs/>
          <w:sz w:val="24"/>
          <w:szCs w:val="24"/>
          <w:lang w:val="ro-RO"/>
        </w:rPr>
      </w:pPr>
      <w:r w:rsidRPr="00F9401C">
        <w:rPr>
          <w:rFonts w:eastAsia="Calibri"/>
          <w:bCs/>
          <w:sz w:val="24"/>
          <w:szCs w:val="24"/>
          <w:lang w:val="ro-RO"/>
        </w:rPr>
        <w:t>32</w:t>
      </w:r>
      <w:r w:rsidRPr="00735C54">
        <w:rPr>
          <w:rFonts w:eastAsia="Calibri"/>
          <w:bCs/>
          <w:sz w:val="24"/>
          <w:szCs w:val="24"/>
          <w:vertAlign w:val="superscript"/>
          <w:lang w:val="ro-RO"/>
        </w:rPr>
        <w:t>2</w:t>
      </w:r>
      <w:r w:rsidRPr="00F9401C">
        <w:rPr>
          <w:rFonts w:eastAsia="Calibri"/>
          <w:bCs/>
          <w:sz w:val="24"/>
          <w:szCs w:val="24"/>
          <w:lang w:val="ro-RO"/>
        </w:rPr>
        <w:t>. Regulile POCB creează un cadru de piață pentru folosirea mecanismelor concurențiale pentru atribuirea contractelor, la un preț transparent, rezultat din echilibrul cererii și al ofertei.</w:t>
      </w:r>
    </w:p>
    <w:p w14:paraId="4E7B0400" w14:textId="77777777" w:rsidR="00B023A2" w:rsidRDefault="00F9401C"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F9401C">
        <w:rPr>
          <w:rFonts w:eastAsia="Calibri"/>
          <w:bCs/>
          <w:sz w:val="24"/>
          <w:szCs w:val="24"/>
          <w:lang w:val="ro-RO"/>
        </w:rPr>
        <w:t>32</w:t>
      </w:r>
      <w:r w:rsidRPr="00735C54">
        <w:rPr>
          <w:rFonts w:eastAsia="Calibri"/>
          <w:bCs/>
          <w:sz w:val="24"/>
          <w:szCs w:val="24"/>
          <w:vertAlign w:val="superscript"/>
          <w:lang w:val="ro-RO"/>
        </w:rPr>
        <w:t>3</w:t>
      </w:r>
      <w:r w:rsidRPr="00F9401C">
        <w:rPr>
          <w:rFonts w:eastAsia="Calibri"/>
          <w:bCs/>
          <w:sz w:val="24"/>
          <w:szCs w:val="24"/>
          <w:lang w:val="ro-RO"/>
        </w:rPr>
        <w:t>. Principiile care stau la baza atribuirii contractelor pentru livrare de energie electrică sunt următoarele:</w:t>
      </w:r>
      <w:r w:rsidR="00B023A2">
        <w:rPr>
          <w:rFonts w:eastAsia="Calibri"/>
          <w:bCs/>
          <w:sz w:val="24"/>
          <w:szCs w:val="24"/>
          <w:lang w:val="ro-RO"/>
        </w:rPr>
        <w:t xml:space="preserve"> </w:t>
      </w:r>
    </w:p>
    <w:p w14:paraId="64E9B99B" w14:textId="77777777" w:rsidR="00B023A2" w:rsidRPr="00B023A2" w:rsidRDefault="00B023A2" w:rsidP="00B023A2">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a)</w:t>
      </w:r>
      <w:r w:rsidRPr="00B023A2">
        <w:rPr>
          <w:rFonts w:eastAsia="Calibri"/>
          <w:bCs/>
          <w:sz w:val="24"/>
          <w:szCs w:val="24"/>
          <w:lang w:val="ro-RO"/>
        </w:rPr>
        <w:tab/>
        <w:t>transparenţa și caracter public – prin publicarea în avans, conform termenelor precizate în Procedura privind tranzacționarea pe piaţa organizată a contractelor bilaterale, a informațiilor referitoare la contractele ce urmează a fi tranzacționate și la sesiunile de licitație aferente, precum și prin publicarea rezultatelor;</w:t>
      </w:r>
    </w:p>
    <w:p w14:paraId="3208691E" w14:textId="6E34DD81" w:rsidR="00B023A2" w:rsidRDefault="00B023A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b)</w:t>
      </w:r>
      <w:r w:rsidRPr="00B023A2">
        <w:rPr>
          <w:rFonts w:eastAsia="Calibri"/>
          <w:bCs/>
          <w:sz w:val="24"/>
          <w:szCs w:val="24"/>
          <w:lang w:val="ro-RO"/>
        </w:rPr>
        <w:tab/>
        <w:t>nediscriminare și obiectivitate - prin aplicarea în mod nediscriminatoriu a criteriilor de selecție și a criteriilor pentru atribuirea contractelor astfel încât participanților la licitații să li se acorde șanse egale de atribuire a contractelor.</w:t>
      </w:r>
    </w:p>
    <w:p w14:paraId="3ED5510F" w14:textId="5240C447" w:rsidR="00D61239" w:rsidRDefault="00B023A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B023A2">
        <w:rPr>
          <w:rFonts w:eastAsia="Calibri"/>
          <w:bCs/>
          <w:sz w:val="24"/>
          <w:szCs w:val="24"/>
          <w:lang w:val="ro-RO"/>
        </w:rPr>
        <w:t>32</w:t>
      </w:r>
      <w:r w:rsidRPr="00735C54">
        <w:rPr>
          <w:rFonts w:eastAsia="Calibri"/>
          <w:bCs/>
          <w:sz w:val="24"/>
          <w:szCs w:val="24"/>
          <w:vertAlign w:val="superscript"/>
          <w:lang w:val="ro-RO"/>
        </w:rPr>
        <w:t>4</w:t>
      </w:r>
      <w:r w:rsidRPr="00B023A2">
        <w:rPr>
          <w:rFonts w:eastAsia="Calibri"/>
          <w:bCs/>
          <w:sz w:val="24"/>
          <w:szCs w:val="24"/>
          <w:lang w:val="ro-RO"/>
        </w:rPr>
        <w:t>.  Participarea la POCB este voluntară și este permisă întreprinderilor energetice care au contract de echilibrare încheiat cu OST și au fost înregistrate de OPEE ca participanți la POCB, respectă Contractul cadru de partic</w:t>
      </w:r>
      <w:r w:rsidR="00BF28F7">
        <w:rPr>
          <w:rFonts w:eastAsia="Calibri"/>
          <w:bCs/>
          <w:sz w:val="24"/>
          <w:szCs w:val="24"/>
          <w:lang w:val="ro-RO"/>
        </w:rPr>
        <w:t>ipare la POCB și reglementările</w:t>
      </w:r>
      <w:r w:rsidRPr="00B023A2">
        <w:rPr>
          <w:rFonts w:eastAsia="Calibri"/>
          <w:bCs/>
          <w:sz w:val="24"/>
          <w:szCs w:val="24"/>
          <w:lang w:val="ro-RO"/>
        </w:rPr>
        <w:t xml:space="preserve"> aplicabile.</w:t>
      </w:r>
    </w:p>
    <w:p w14:paraId="577CF9A8" w14:textId="4C8A63A8"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D61239">
        <w:rPr>
          <w:rFonts w:eastAsia="Calibri"/>
          <w:bCs/>
          <w:sz w:val="24"/>
          <w:szCs w:val="24"/>
          <w:lang w:val="ro-RO"/>
        </w:rPr>
        <w:t>32</w:t>
      </w:r>
      <w:r w:rsidRPr="00735C54">
        <w:rPr>
          <w:rFonts w:eastAsia="Calibri"/>
          <w:bCs/>
          <w:sz w:val="24"/>
          <w:szCs w:val="24"/>
          <w:vertAlign w:val="superscript"/>
          <w:lang w:val="ro-RO"/>
        </w:rPr>
        <w:t>5</w:t>
      </w:r>
      <w:r>
        <w:rPr>
          <w:rFonts w:eastAsia="Calibri"/>
          <w:bCs/>
          <w:sz w:val="24"/>
          <w:szCs w:val="24"/>
          <w:lang w:val="ro-RO"/>
        </w:rPr>
        <w:t xml:space="preserve">. </w:t>
      </w:r>
      <w:r w:rsidRPr="00D61239">
        <w:rPr>
          <w:rFonts w:eastAsia="Calibri"/>
          <w:bCs/>
          <w:sz w:val="24"/>
          <w:szCs w:val="24"/>
          <w:lang w:val="ro-RO"/>
        </w:rPr>
        <w:t>OPEE publică pe pagina proprie de internet, în consultare publică, Procedura privind tranzacționarea pe piaţa organizată a contractelor bilaterale, Contractul cadru de participare la POCB, precum şi Contractul cadru de vânzare/cumpărare energie electrică pe Piața Organizată a Contractelor Bilaterale, iar documentele rezultate în urma procesului de consultare publică pot să prevadă și alte obligații pentru participarea la sesiunile de licitație organizate pe POCB.</w:t>
      </w:r>
    </w:p>
    <w:p w14:paraId="10F541D0" w14:textId="3DDAA319"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D61239">
        <w:rPr>
          <w:rFonts w:eastAsia="Calibri"/>
          <w:bCs/>
          <w:sz w:val="24"/>
          <w:szCs w:val="24"/>
          <w:lang w:val="ro-RO"/>
        </w:rPr>
        <w:t>32</w:t>
      </w:r>
      <w:r w:rsidRPr="00735C54">
        <w:rPr>
          <w:rFonts w:eastAsia="Calibri"/>
          <w:bCs/>
          <w:sz w:val="24"/>
          <w:szCs w:val="24"/>
          <w:vertAlign w:val="superscript"/>
          <w:lang w:val="ro-RO"/>
        </w:rPr>
        <w:t>6</w:t>
      </w:r>
      <w:r w:rsidRPr="00D61239">
        <w:rPr>
          <w:rFonts w:eastAsia="Calibri"/>
          <w:bCs/>
          <w:sz w:val="24"/>
          <w:szCs w:val="24"/>
          <w:lang w:val="ro-RO"/>
        </w:rPr>
        <w:t>. OPEE publică pe pagina proprie de internet documentele rezultate în urma unui proces de consultare publică, avizate de către ANRE, respectiv Procedura privind tranzacționarea pe piaţa organizată a contractelor bilaterale, Contractul cadru de participare la POCB, precum şi Contractul cadru de vânz</w:t>
      </w:r>
      <w:r>
        <w:rPr>
          <w:rFonts w:eastAsia="Calibri"/>
          <w:bCs/>
          <w:sz w:val="24"/>
          <w:szCs w:val="24"/>
          <w:lang w:val="ro-RO"/>
        </w:rPr>
        <w:t xml:space="preserve">are/cumpărare energie electrică </w:t>
      </w:r>
      <w:r w:rsidRPr="00D61239">
        <w:rPr>
          <w:rFonts w:eastAsia="Calibri"/>
          <w:bCs/>
          <w:sz w:val="24"/>
          <w:szCs w:val="24"/>
          <w:lang w:val="ro-RO"/>
        </w:rPr>
        <w:t>pe Piața Organizată a Contractelor Bilaterale</w:t>
      </w:r>
      <w:r>
        <w:rPr>
          <w:rFonts w:eastAsia="Calibri"/>
          <w:bCs/>
          <w:sz w:val="24"/>
          <w:szCs w:val="24"/>
          <w:lang w:val="ro-RO"/>
        </w:rPr>
        <w:t>.</w:t>
      </w:r>
    </w:p>
    <w:p w14:paraId="27917BEC" w14:textId="7DE26CC0" w:rsidR="00D61239" w:rsidRPr="00735C54" w:rsidRDefault="00D61239" w:rsidP="00735C54">
      <w:pPr>
        <w:pStyle w:val="ListParagraph"/>
        <w:tabs>
          <w:tab w:val="left" w:pos="851"/>
          <w:tab w:val="left" w:pos="1440"/>
        </w:tabs>
        <w:spacing w:before="120" w:after="120" w:line="276" w:lineRule="auto"/>
        <w:ind w:left="426" w:firstLine="0"/>
        <w:rPr>
          <w:iCs/>
          <w:sz w:val="24"/>
          <w:szCs w:val="24"/>
          <w:lang w:val="ro-RO"/>
        </w:rPr>
      </w:pPr>
      <w:r w:rsidRPr="007E3BE6">
        <w:rPr>
          <w:rFonts w:eastAsia="Calibri"/>
          <w:bCs/>
          <w:sz w:val="24"/>
          <w:szCs w:val="24"/>
          <w:lang w:val="ro-RO"/>
        </w:rPr>
        <w:t>32</w:t>
      </w:r>
      <w:r w:rsidRPr="007E3BE6">
        <w:rPr>
          <w:rFonts w:eastAsia="Calibri"/>
          <w:bCs/>
          <w:sz w:val="24"/>
          <w:szCs w:val="24"/>
          <w:vertAlign w:val="superscript"/>
          <w:lang w:val="ro-RO"/>
        </w:rPr>
        <w:t>7</w:t>
      </w:r>
      <w:r w:rsidRPr="00B2631B">
        <w:rPr>
          <w:rFonts w:eastAsia="Calibri"/>
          <w:bCs/>
          <w:sz w:val="24"/>
          <w:szCs w:val="24"/>
          <w:lang w:val="ro-RO"/>
        </w:rPr>
        <w:t xml:space="preserve">. </w:t>
      </w:r>
      <w:r w:rsidRPr="00735C54">
        <w:rPr>
          <w:iCs/>
          <w:sz w:val="24"/>
          <w:szCs w:val="24"/>
          <w:lang w:val="ro-RO"/>
        </w:rPr>
        <w:t>Ofertele pe POCB se fac la nivel agregat pe portofoliul de vânzare/cumpărare al fiecărui participant la POCB.</w:t>
      </w:r>
    </w:p>
    <w:p w14:paraId="079C5FB7" w14:textId="3EB79B10" w:rsidR="00D61239" w:rsidRDefault="00D61239"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735C54">
        <w:rPr>
          <w:bCs/>
          <w:iCs/>
          <w:sz w:val="24"/>
          <w:szCs w:val="24"/>
          <w:lang w:val="ro-RO"/>
        </w:rPr>
        <w:t>32</w:t>
      </w:r>
      <w:r w:rsidRPr="00735C54">
        <w:rPr>
          <w:bCs/>
          <w:iCs/>
          <w:sz w:val="24"/>
          <w:szCs w:val="24"/>
          <w:vertAlign w:val="superscript"/>
          <w:lang w:val="ro-RO"/>
        </w:rPr>
        <w:t>8</w:t>
      </w:r>
      <w:r w:rsidRPr="00C7640F">
        <w:rPr>
          <w:rFonts w:eastAsia="Calibri"/>
          <w:bCs/>
          <w:sz w:val="24"/>
          <w:szCs w:val="24"/>
          <w:lang w:val="ro-RO"/>
        </w:rPr>
        <w:t>.</w:t>
      </w:r>
      <w:r w:rsidRPr="00735C54">
        <w:rPr>
          <w:rFonts w:eastAsia="Calibri"/>
          <w:bCs/>
          <w:sz w:val="28"/>
          <w:szCs w:val="24"/>
          <w:lang w:val="ro-RO"/>
        </w:rPr>
        <w:t xml:space="preserve"> </w:t>
      </w:r>
      <w:r w:rsidRPr="00D61239">
        <w:rPr>
          <w:rFonts w:eastAsia="Calibri"/>
          <w:bCs/>
          <w:sz w:val="24"/>
          <w:szCs w:val="24"/>
          <w:lang w:val="ro-RO"/>
        </w:rPr>
        <w:t>Un participant la POCB poate încheia tranzacţii pe pieţele organizate de energie electrică la termen, individual sau pe baza participării agregate, în conformitate cu prevederile pre</w:t>
      </w:r>
      <w:r>
        <w:rPr>
          <w:rFonts w:eastAsia="Calibri"/>
          <w:bCs/>
          <w:sz w:val="24"/>
          <w:szCs w:val="24"/>
          <w:lang w:val="ro-RO"/>
        </w:rPr>
        <w:t>zentelor reguli, precum şi cu P</w:t>
      </w:r>
      <w:r w:rsidRPr="00D61239">
        <w:rPr>
          <w:rFonts w:eastAsia="Calibri"/>
          <w:bCs/>
          <w:sz w:val="24"/>
          <w:szCs w:val="24"/>
          <w:lang w:val="ro-RO"/>
        </w:rPr>
        <w:t>rocedura de înregistrare, suspendare</w:t>
      </w:r>
      <w:r>
        <w:rPr>
          <w:rFonts w:eastAsia="Calibri"/>
          <w:bCs/>
          <w:sz w:val="24"/>
          <w:szCs w:val="24"/>
          <w:lang w:val="ro-RO"/>
        </w:rPr>
        <w:t xml:space="preserve">a și revocarea/retragerea </w:t>
      </w:r>
      <w:r w:rsidRPr="00D61239">
        <w:rPr>
          <w:rFonts w:eastAsia="Calibri"/>
          <w:bCs/>
          <w:sz w:val="24"/>
          <w:szCs w:val="24"/>
          <w:lang w:val="ro-RO"/>
        </w:rPr>
        <w:t>la piețele de energie electrică organizate de OPEE</w:t>
      </w:r>
      <w:r>
        <w:rPr>
          <w:rFonts w:eastAsia="Calibri"/>
          <w:bCs/>
          <w:sz w:val="24"/>
          <w:szCs w:val="24"/>
          <w:lang w:val="ro-RO"/>
        </w:rPr>
        <w:t xml:space="preserve">. </w:t>
      </w:r>
      <w:r w:rsidRPr="00D61239">
        <w:rPr>
          <w:rFonts w:eastAsia="Calibri"/>
          <w:bCs/>
          <w:sz w:val="24"/>
          <w:szCs w:val="24"/>
          <w:lang w:val="ro-RO"/>
        </w:rPr>
        <w:t>În cazul participării agregate, agregatorul este participantul care tranzacționează energia electrică şi căruia îi revin integral toate responsabilitățile şi drepturile prevăzute în Contractul cadru de participare la POCB.</w:t>
      </w:r>
    </w:p>
    <w:p w14:paraId="2A6E37A0" w14:textId="242689ED" w:rsidR="009B502D"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E79">
        <w:rPr>
          <w:rFonts w:eastAsia="Calibri"/>
          <w:bCs/>
          <w:sz w:val="24"/>
          <w:szCs w:val="24"/>
          <w:lang w:val="ro-RO"/>
        </w:rPr>
        <w:t>32</w:t>
      </w:r>
      <w:r w:rsidRPr="00735C54">
        <w:rPr>
          <w:rFonts w:eastAsia="Calibri"/>
          <w:bCs/>
          <w:sz w:val="24"/>
          <w:szCs w:val="24"/>
          <w:vertAlign w:val="superscript"/>
          <w:lang w:val="ro-RO"/>
        </w:rPr>
        <w:t>9</w:t>
      </w:r>
      <w:r w:rsidRPr="002D7E79">
        <w:rPr>
          <w:rFonts w:eastAsia="Calibri"/>
          <w:bCs/>
          <w:sz w:val="24"/>
          <w:szCs w:val="24"/>
          <w:lang w:val="ro-RO"/>
        </w:rPr>
        <w:t xml:space="preserve">. Executarea tranzacțiilor încheiate pe piața organizată a contractelor bilaterale administrată de OPEE este garantată prin intermediul clauzelor privind garanțiile de bună execuție/plată </w:t>
      </w:r>
      <w:r w:rsidRPr="002D7E79">
        <w:rPr>
          <w:rFonts w:eastAsia="Calibri"/>
          <w:bCs/>
          <w:sz w:val="24"/>
          <w:szCs w:val="24"/>
          <w:lang w:val="ro-RO"/>
        </w:rPr>
        <w:lastRenderedPageBreak/>
        <w:t>prevăzute în contractul propus de inițiator, publicat de către OPEE anterior sesiunii de tranzacționare, cu respectarea Contractului cadru de vânzare/cumpărare energie electrică.</w:t>
      </w:r>
    </w:p>
    <w:p w14:paraId="7585FC1F" w14:textId="77777777" w:rsidR="00C7640F" w:rsidRPr="009B502D"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5608646F" w14:textId="302625DA" w:rsidR="00C31615" w:rsidRDefault="009B502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B502D">
        <w:rPr>
          <w:rFonts w:eastAsia="Calibri"/>
          <w:bCs/>
          <w:sz w:val="24"/>
          <w:szCs w:val="24"/>
          <w:lang w:val="ro-RO"/>
        </w:rPr>
        <w:t>Capitolul I</w:t>
      </w:r>
      <w:r w:rsidRPr="00735C54">
        <w:rPr>
          <w:rFonts w:eastAsia="Calibri"/>
          <w:bCs/>
          <w:sz w:val="24"/>
          <w:szCs w:val="24"/>
          <w:vertAlign w:val="superscript"/>
          <w:lang w:val="ro-RO"/>
        </w:rPr>
        <w:t>2</w:t>
      </w:r>
      <w:r w:rsidR="00C7640F">
        <w:rPr>
          <w:rFonts w:eastAsia="Calibri"/>
          <w:bCs/>
          <w:sz w:val="24"/>
          <w:szCs w:val="24"/>
          <w:lang w:val="ro-RO"/>
        </w:rPr>
        <w:t xml:space="preserve"> </w:t>
      </w:r>
      <w:r w:rsidRPr="00735C54">
        <w:rPr>
          <w:rFonts w:eastAsia="Calibri"/>
          <w:bCs/>
          <w:sz w:val="24"/>
          <w:szCs w:val="24"/>
          <w:lang w:val="ro-RO"/>
        </w:rPr>
        <w:t>Transmiterea ofertelor inițiatoare pe POCB</w:t>
      </w:r>
    </w:p>
    <w:p w14:paraId="4286E7F3" w14:textId="77777777"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0604D9F5" w14:textId="1CE2C56A" w:rsidR="00C7640F" w:rsidRPr="00C7640F" w:rsidRDefault="00C7640F" w:rsidP="00C7640F">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10</w:t>
      </w:r>
      <w:r>
        <w:rPr>
          <w:rFonts w:eastAsia="Calibri"/>
          <w:bCs/>
          <w:sz w:val="24"/>
          <w:szCs w:val="24"/>
          <w:lang w:val="ro-RO"/>
        </w:rPr>
        <w:t xml:space="preserve">. </w:t>
      </w:r>
      <w:r w:rsidRPr="00C7640F">
        <w:rPr>
          <w:rFonts w:eastAsia="Calibri"/>
          <w:bCs/>
          <w:sz w:val="24"/>
          <w:szCs w:val="24"/>
          <w:lang w:val="ro-RO"/>
        </w:rPr>
        <w:t xml:space="preserve">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şi </w:t>
      </w:r>
      <w:r w:rsidR="00AB42A5" w:rsidRPr="00C7640F">
        <w:rPr>
          <w:rFonts w:eastAsia="Calibri"/>
          <w:bCs/>
          <w:sz w:val="24"/>
          <w:szCs w:val="24"/>
          <w:lang w:val="ro-RO"/>
        </w:rPr>
        <w:t>modalitățile</w:t>
      </w:r>
      <w:r w:rsidRPr="00C7640F">
        <w:rPr>
          <w:rFonts w:eastAsia="Calibri"/>
          <w:bCs/>
          <w:sz w:val="24"/>
          <w:szCs w:val="24"/>
          <w:lang w:val="ro-RO"/>
        </w:rPr>
        <w:t xml:space="preserve"> de plată, garanţii de bună execuție, garanții de bună plată (inclusiv modalitățile de constituire a  garanțiilor financiare) şi/sau </w:t>
      </w:r>
      <w:r w:rsidR="00AB42A5" w:rsidRPr="00C7640F">
        <w:rPr>
          <w:rFonts w:eastAsia="Calibri"/>
          <w:bCs/>
          <w:sz w:val="24"/>
          <w:szCs w:val="24"/>
          <w:lang w:val="ro-RO"/>
        </w:rPr>
        <w:t>penalitățile</w:t>
      </w:r>
      <w:r w:rsidRPr="00C7640F">
        <w:rPr>
          <w:rFonts w:eastAsia="Calibri"/>
          <w:bCs/>
          <w:sz w:val="24"/>
          <w:szCs w:val="24"/>
          <w:lang w:val="ro-RO"/>
        </w:rPr>
        <w:t xml:space="preserve"> de natură financiară. Oferta inițiatoare va fi publicată în secțiunea dedicată POCB pe pagina de internet a OPEE, iar termenele de primire a ofertelor coinițiatoare/modificare a prețului și al celor de răspuns vor fi specificate în anunțul de organizare sesiunii de licitație referitoare la fiecare ofertă inițiatoare. </w:t>
      </w:r>
    </w:p>
    <w:p w14:paraId="5E3BA440" w14:textId="75A4FFBE" w:rsidR="00C7640F" w:rsidRDefault="00C7640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C7640F">
        <w:rPr>
          <w:rFonts w:eastAsia="Calibri"/>
          <w:bCs/>
          <w:sz w:val="24"/>
          <w:szCs w:val="24"/>
          <w:lang w:val="ro-RO"/>
        </w:rPr>
        <w:t>În adresa de înaintare transmisă de Participantul inițiator la OPEE, împreună cu oferta inițiatoare ce</w:t>
      </w:r>
      <w:r>
        <w:rPr>
          <w:rFonts w:eastAsia="Calibri"/>
          <w:bCs/>
          <w:sz w:val="24"/>
          <w:szCs w:val="24"/>
          <w:lang w:val="ro-RO"/>
        </w:rPr>
        <w:t xml:space="preserve"> </w:t>
      </w:r>
      <w:r w:rsidRPr="00C7640F">
        <w:rPr>
          <w:rFonts w:eastAsia="Calibri"/>
          <w:bCs/>
          <w:sz w:val="24"/>
          <w:szCs w:val="24"/>
          <w:lang w:val="ro-RO"/>
        </w:rPr>
        <w:t>urmează a fi publicată și cu clauzele specifice ale Contractului cadru de vânzare-cumpărare, Participantul inițiator poate solicita inclusiv garanții de participare la sesiunile de licitații și/sau, după caz, poate preciza o listă de eligibilitate a participanților respondenți.</w:t>
      </w:r>
    </w:p>
    <w:p w14:paraId="7FB465E8"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11</w:t>
      </w:r>
      <w:r w:rsidRPr="009F27B2">
        <w:rPr>
          <w:rFonts w:eastAsia="Calibri"/>
          <w:bCs/>
          <w:sz w:val="24"/>
          <w:szCs w:val="24"/>
          <w:lang w:val="ro-RO"/>
        </w:rPr>
        <w:t>. Ofertarea pe POCB cuprinde următoarele etape:</w:t>
      </w:r>
    </w:p>
    <w:p w14:paraId="46B66CCB" w14:textId="48611583"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1) acceptarea contractului  - cadru;</w:t>
      </w:r>
    </w:p>
    <w:p w14:paraId="5F7876CB" w14:textId="6EBF13D7" w:rsidR="009F27B2" w:rsidRPr="009F27B2" w:rsidRDefault="00AB42A5" w:rsidP="009F27B2">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2) </w:t>
      </w:r>
      <w:r w:rsidR="009F27B2" w:rsidRPr="009F27B2">
        <w:rPr>
          <w:rFonts w:eastAsia="Calibri"/>
          <w:bCs/>
          <w:sz w:val="24"/>
          <w:szCs w:val="24"/>
          <w:lang w:val="ro-RO"/>
        </w:rPr>
        <w:t>fiecare participant inițiator/coin</w:t>
      </w:r>
      <w:r>
        <w:rPr>
          <w:rFonts w:eastAsia="Calibri"/>
          <w:bCs/>
          <w:sz w:val="24"/>
          <w:szCs w:val="24"/>
          <w:lang w:val="ro-RO"/>
        </w:rPr>
        <w:t>ițiator</w:t>
      </w:r>
      <w:r w:rsidR="009F27B2" w:rsidRPr="009F27B2">
        <w:rPr>
          <w:rFonts w:eastAsia="Calibri"/>
          <w:bCs/>
          <w:sz w:val="24"/>
          <w:szCs w:val="24"/>
          <w:lang w:val="ro-RO"/>
        </w:rPr>
        <w:t xml:space="preserve"> își definește oferta proprie de vânzare sau de cumpărare de energie electrică., care trebuie să conțină următoarele caracteristici:</w:t>
      </w:r>
    </w:p>
    <w:p w14:paraId="2B723BCA"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 durata livrării, respectiv data de începere şi data de finalizare a livrării; durata livrării trebuie să fie de minimum o lună; durata maximă a livrării poate fi oricât de mare, conform ofertei inițiatoare; </w:t>
      </w:r>
    </w:p>
    <w:p w14:paraId="586C7964"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(ii) puterea pe interval de decontare de energie electrică, profilul zilnic de livrare și subsecvent cantitatea totală de energie electrică;</w:t>
      </w:r>
    </w:p>
    <w:p w14:paraId="5479D655"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(iii) profilul zilnic de livrare poate fi:</w:t>
      </w:r>
    </w:p>
    <w:p w14:paraId="61204F06"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1.</w:t>
      </w:r>
      <w:r w:rsidRPr="009F27B2">
        <w:rPr>
          <w:rFonts w:eastAsia="Calibri"/>
          <w:bCs/>
          <w:sz w:val="24"/>
          <w:szCs w:val="24"/>
          <w:lang w:val="ro-RO"/>
        </w:rPr>
        <w:tab/>
        <w:t>livrare în bandă la putere constantă (luni - duminică, 0.00 - 24.00 EET);</w:t>
      </w:r>
    </w:p>
    <w:p w14:paraId="2F84725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2.</w:t>
      </w:r>
      <w:r w:rsidRPr="009F27B2">
        <w:rPr>
          <w:rFonts w:eastAsia="Calibri"/>
          <w:bCs/>
          <w:sz w:val="24"/>
          <w:szCs w:val="24"/>
          <w:lang w:val="ro-RO"/>
        </w:rPr>
        <w:tab/>
        <w:t>livrare la putere constantă, la ore de vârf de sarcină (luni - duminică, 6.00 - 22.00 EET);</w:t>
      </w:r>
    </w:p>
    <w:p w14:paraId="072379A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3.</w:t>
      </w:r>
      <w:r w:rsidRPr="009F27B2">
        <w:rPr>
          <w:rFonts w:eastAsia="Calibri"/>
          <w:bCs/>
          <w:sz w:val="24"/>
          <w:szCs w:val="24"/>
          <w:lang w:val="ro-RO"/>
        </w:rPr>
        <w:tab/>
        <w:t>livrare la putere constantă, la ore de vârf de sarcină (luni - vineri, 6.00 - 22.00 EET);</w:t>
      </w:r>
    </w:p>
    <w:p w14:paraId="76FED3C8" w14:textId="77777777" w:rsidR="009F27B2" w:rsidRP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4.</w:t>
      </w:r>
      <w:r w:rsidRPr="009F27B2">
        <w:rPr>
          <w:rFonts w:eastAsia="Calibri"/>
          <w:bCs/>
          <w:sz w:val="24"/>
          <w:szCs w:val="24"/>
          <w:lang w:val="ro-RO"/>
        </w:rPr>
        <w:tab/>
        <w:t>livrare la putere constantă la ore gol sarcină (luni - vineri, 0.00 - 6.00 EET şi 22.00 - 24.00 EET, şi sâmbătă - duminică, 0.00 - 24.00 EET);</w:t>
      </w:r>
    </w:p>
    <w:p w14:paraId="3CF6B50A" w14:textId="7FE892B4" w:rsid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5.</w:t>
      </w:r>
      <w:r w:rsidRPr="009F27B2">
        <w:rPr>
          <w:rFonts w:eastAsia="Calibri"/>
          <w:bCs/>
          <w:sz w:val="24"/>
          <w:szCs w:val="24"/>
          <w:lang w:val="ro-RO"/>
        </w:rPr>
        <w:tab/>
        <w:t>alte profiluri de livrare zilnică, şi anume orice perioadă din zi formată din minimum 3 ore succesive de livrare la putere constantă în conformitate cu prevederile Procedurii privind tranzacționarea pe piața organizată a contractelor bilaterale; perioadele zilnice de livrare aferente fiecărui profil de livrare sunt clar definite ca oră de început și oră de sfârșit de către OPEE, iar acesta poate introduce sau elimina de la tranzacționare un profil de livrare zilnică în funcție de cerințele pieței, conform unor criterii cuprinse într-o procedură proprie rezultată în urma unui proces de consultare publică;</w:t>
      </w:r>
    </w:p>
    <w:p w14:paraId="1DE0FFBD" w14:textId="77777777" w:rsidR="009F27B2" w:rsidRP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12</w:t>
      </w:r>
      <w:r w:rsidRPr="009F27B2">
        <w:rPr>
          <w:rFonts w:eastAsia="Calibri"/>
          <w:bCs/>
          <w:sz w:val="24"/>
          <w:szCs w:val="24"/>
          <w:lang w:val="ro-RO"/>
        </w:rPr>
        <w:t>. Ofertele inițiatoare de energie electrică sunt oferte cu caracteristici ferme stabilite în momentul introducerii lor în piață, privind durata livrării, respectiv data de începere și data de finalizare a livrării, cantitatea de energie electrică totală oferită spre cumpărare/vânzare precum și puterea pe interval de decontare de energie electrică/profilul zilnic de livrare, prețul solicitat, precum și următoarele opțiuni:</w:t>
      </w:r>
    </w:p>
    <w:p w14:paraId="5BBFBE44" w14:textId="77777777" w:rsidR="009F27B2" w:rsidRPr="009F27B2" w:rsidRDefault="009F27B2" w:rsidP="009F27B2">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lastRenderedPageBreak/>
        <w:tab/>
        <w:t xml:space="preserve">  a) opțiunea dintre tranzacționarea integrală cu un singur participant și cea parțială și/sau cu mai mulți participanți a cantității ofertate; </w:t>
      </w:r>
    </w:p>
    <w:p w14:paraId="65F310EA" w14:textId="77777777" w:rsidR="009F27B2" w:rsidRPr="009F27B2" w:rsidRDefault="009F27B2" w:rsidP="009F27B2">
      <w:pPr>
        <w:pStyle w:val="ListParagraph"/>
        <w:tabs>
          <w:tab w:val="left" w:pos="851"/>
          <w:tab w:val="left" w:pos="1440"/>
        </w:tabs>
        <w:spacing w:before="120" w:after="120" w:line="276" w:lineRule="auto"/>
        <w:ind w:left="426" w:firstLine="425"/>
        <w:rPr>
          <w:rFonts w:eastAsia="Calibri"/>
          <w:bCs/>
          <w:sz w:val="24"/>
          <w:szCs w:val="24"/>
          <w:lang w:val="ro-RO"/>
        </w:rPr>
      </w:pPr>
      <w:r w:rsidRPr="009F27B2">
        <w:rPr>
          <w:rFonts w:eastAsia="Calibri"/>
          <w:bCs/>
          <w:sz w:val="24"/>
          <w:szCs w:val="24"/>
          <w:lang w:val="ro-RO"/>
        </w:rPr>
        <w:tab/>
        <w:t xml:space="preserve">  b) opțiunea privind utilizarea unei formule de ajustare a prețului de atribuire a contractului, în funcție de evoluția unui indice bursier public din domeniul energiei electrice, inclusiv formula aferentă; </w:t>
      </w:r>
    </w:p>
    <w:p w14:paraId="4DCF9734" w14:textId="284E59EB" w:rsidR="009F27B2" w:rsidRDefault="009F27B2" w:rsidP="00735C54">
      <w:pPr>
        <w:pStyle w:val="ListParagraph"/>
        <w:tabs>
          <w:tab w:val="left" w:pos="851"/>
          <w:tab w:val="left" w:pos="1440"/>
        </w:tabs>
        <w:spacing w:before="120" w:after="120" w:line="276" w:lineRule="auto"/>
        <w:ind w:left="426" w:firstLine="425"/>
        <w:rPr>
          <w:rFonts w:eastAsia="Calibri"/>
          <w:bCs/>
          <w:sz w:val="24"/>
          <w:szCs w:val="24"/>
          <w:lang w:val="ro-RO"/>
        </w:rPr>
      </w:pPr>
      <w:r>
        <w:rPr>
          <w:rFonts w:eastAsia="Calibri"/>
          <w:bCs/>
          <w:sz w:val="24"/>
          <w:szCs w:val="24"/>
          <w:lang w:val="ro-RO"/>
        </w:rPr>
        <w:tab/>
        <w:t xml:space="preserve">  </w:t>
      </w:r>
      <w:r w:rsidRPr="009F27B2">
        <w:rPr>
          <w:rFonts w:eastAsia="Calibri"/>
          <w:bCs/>
          <w:sz w:val="24"/>
          <w:szCs w:val="24"/>
          <w:lang w:val="ro-RO"/>
        </w:rPr>
        <w:t>c) opțiunea privind procentul de variație maximă a cantității pe interval de decontare față de valoarea prevăzută în ofertă.</w:t>
      </w:r>
    </w:p>
    <w:p w14:paraId="7F91B8B9"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13</w:t>
      </w:r>
      <w:r w:rsidRPr="009F27B2">
        <w:rPr>
          <w:rFonts w:eastAsia="Calibri"/>
          <w:bCs/>
          <w:sz w:val="24"/>
          <w:szCs w:val="24"/>
          <w:lang w:val="ro-RO"/>
        </w:rPr>
        <w:t xml:space="preserve">. Ofertele inițiatoare de energie electrică pot fi de următoarele tipuri: </w:t>
      </w:r>
    </w:p>
    <w:p w14:paraId="14689229"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ofertă de vânzare cu preț minim (Pmin), publicată în vederea organizării unei sesiuni de licitație pentru atribuirea contractului cadru de vânzare-cumpărare propus.</w:t>
      </w:r>
    </w:p>
    <w:p w14:paraId="0ABBF99A"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ofertă de cumpărare cu preț maxim (Pmax), publicată în vederea organizării unei sesiuni de licitație pentru atribuirea contractului cadru de vânzare-cumpărare propus.</w:t>
      </w:r>
    </w:p>
    <w:p w14:paraId="1C8F3916" w14:textId="1E28016A" w:rsid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14</w:t>
      </w:r>
      <w:r w:rsidRPr="009F27B2">
        <w:rPr>
          <w:rFonts w:eastAsia="Calibri"/>
          <w:bCs/>
          <w:sz w:val="24"/>
          <w:szCs w:val="24"/>
          <w:lang w:val="ro-RO"/>
        </w:rPr>
        <w:t>. Fiecare ofertant inițiator își definește oferta proprie fermă de vânzare sau cumpărare de energie electrică, respectând contractul-cadru.</w:t>
      </w:r>
    </w:p>
    <w:p w14:paraId="5A6BB801" w14:textId="47953878"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32</w:t>
      </w:r>
      <w:r w:rsidRPr="00735C54">
        <w:rPr>
          <w:rFonts w:eastAsia="Calibri"/>
          <w:bCs/>
          <w:sz w:val="24"/>
          <w:szCs w:val="24"/>
          <w:vertAlign w:val="superscript"/>
          <w:lang w:val="ro-RO"/>
        </w:rPr>
        <w:t>15</w:t>
      </w:r>
      <w:r w:rsidRPr="009F27B2">
        <w:rPr>
          <w:rFonts w:eastAsia="Calibri"/>
          <w:bCs/>
          <w:sz w:val="24"/>
          <w:szCs w:val="24"/>
          <w:lang w:val="ro-RO"/>
        </w:rPr>
        <w:t>.</w:t>
      </w:r>
      <w:r>
        <w:rPr>
          <w:rFonts w:eastAsia="Calibri"/>
          <w:bCs/>
          <w:sz w:val="24"/>
          <w:szCs w:val="24"/>
          <w:lang w:val="ro-RO"/>
        </w:rPr>
        <w:t xml:space="preserve"> </w:t>
      </w:r>
      <w:r w:rsidRPr="009F27B2">
        <w:rPr>
          <w:rFonts w:eastAsia="Calibri"/>
          <w:bCs/>
          <w:sz w:val="24"/>
          <w:szCs w:val="24"/>
          <w:lang w:val="ro-RO"/>
        </w:rPr>
        <w:t>Ofertele inițiatoare de energie electrică trebuie să precizeze cantitatea totală și puterea pe interval de decontare de energie electrică și profilul zilnic de livrare, prin alegerea uneia din variantele</w:t>
      </w:r>
      <w:r w:rsidR="00BA15F9">
        <w:rPr>
          <w:rFonts w:eastAsia="Calibri"/>
          <w:bCs/>
          <w:sz w:val="24"/>
          <w:szCs w:val="24"/>
          <w:lang w:val="ro-RO"/>
        </w:rPr>
        <w:t xml:space="preserve"> următoare</w:t>
      </w:r>
      <w:r w:rsidRPr="009F27B2">
        <w:rPr>
          <w:rFonts w:eastAsia="Calibri"/>
          <w:bCs/>
          <w:sz w:val="24"/>
          <w:szCs w:val="24"/>
          <w:lang w:val="ro-RO"/>
        </w:rPr>
        <w:t>:</w:t>
      </w:r>
    </w:p>
    <w:p w14:paraId="2EA2C1BD"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livrare în bandă la putere constantă;</w:t>
      </w:r>
    </w:p>
    <w:p w14:paraId="34EF40CF" w14:textId="77777777"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livrare la putere constantă, la ore de vârf de sarcină;</w:t>
      </w:r>
    </w:p>
    <w:p w14:paraId="5996142C" w14:textId="37A4AAC3"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c) livrare la putere cons</w:t>
      </w:r>
      <w:r w:rsidR="009A1E4B">
        <w:rPr>
          <w:rFonts w:eastAsia="Calibri"/>
          <w:bCs/>
          <w:sz w:val="24"/>
          <w:szCs w:val="24"/>
          <w:lang w:val="ro-RO"/>
        </w:rPr>
        <w:t>tantă, la ore de gol de sarcină.</w:t>
      </w:r>
    </w:p>
    <w:p w14:paraId="3F86AF5C" w14:textId="4337C9AA" w:rsidR="009F27B2" w:rsidRPr="00735C54"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w:t>
      </w:r>
      <w:r w:rsidRPr="00735C54">
        <w:rPr>
          <w:rFonts w:eastAsia="Calibri"/>
          <w:bCs/>
          <w:sz w:val="24"/>
          <w:szCs w:val="24"/>
          <w:lang w:val="ro-RO"/>
        </w:rPr>
        <w:t>Profilurile zilnice de livrare aplicabile în vederea ofertării sunt actualizate de către OP</w:t>
      </w:r>
      <w:r>
        <w:rPr>
          <w:rFonts w:eastAsia="Calibri"/>
          <w:bCs/>
          <w:sz w:val="24"/>
          <w:szCs w:val="24"/>
          <w:lang w:val="ro-RO"/>
        </w:rPr>
        <w:t>EE</w:t>
      </w:r>
      <w:r w:rsidRPr="00735C54">
        <w:rPr>
          <w:rFonts w:eastAsia="Calibri"/>
          <w:bCs/>
          <w:sz w:val="24"/>
          <w:szCs w:val="24"/>
          <w:lang w:val="ro-RO"/>
        </w:rPr>
        <w:t xml:space="preserve"> și publicate pe pagina de internet a</w:t>
      </w:r>
      <w:r>
        <w:rPr>
          <w:rFonts w:eastAsia="Calibri"/>
          <w:bCs/>
          <w:sz w:val="24"/>
          <w:szCs w:val="24"/>
          <w:lang w:val="ro-RO"/>
        </w:rPr>
        <w:t>l acestuia</w:t>
      </w:r>
      <w:r w:rsidRPr="00735C54">
        <w:rPr>
          <w:rFonts w:eastAsia="Calibri"/>
          <w:bCs/>
          <w:sz w:val="24"/>
          <w:szCs w:val="24"/>
          <w:lang w:val="ro-RO"/>
        </w:rPr>
        <w:t>.</w:t>
      </w:r>
      <w:r>
        <w:rPr>
          <w:rFonts w:eastAsia="Calibri"/>
          <w:bCs/>
          <w:sz w:val="24"/>
          <w:szCs w:val="24"/>
          <w:lang w:val="ro-RO"/>
        </w:rPr>
        <w:t xml:space="preserve"> </w:t>
      </w:r>
      <w:r w:rsidRPr="00735C54">
        <w:rPr>
          <w:rFonts w:eastAsia="Calibri"/>
          <w:bCs/>
          <w:sz w:val="24"/>
          <w:szCs w:val="24"/>
          <w:lang w:val="ro-RO"/>
        </w:rPr>
        <w:t>Preţul propus prin oferta inițiatoare este exprimat în MDL/MWh, nu include TVA și în funcție de sensul ofertei inițiatoare este:</w:t>
      </w:r>
    </w:p>
    <w:p w14:paraId="2D0223D4" w14:textId="5B17CEF1" w:rsidR="009F27B2" w:rsidRPr="009F27B2" w:rsidRDefault="009F27B2" w:rsidP="009F27B2">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a) preț minim (Pmin) - în cazu</w:t>
      </w:r>
      <w:r>
        <w:rPr>
          <w:rFonts w:eastAsia="Calibri"/>
          <w:bCs/>
          <w:sz w:val="24"/>
          <w:szCs w:val="24"/>
          <w:lang w:val="ro-RO"/>
        </w:rPr>
        <w:t xml:space="preserve">l licitațiilor organizate </w:t>
      </w:r>
      <w:r w:rsidRPr="009F27B2">
        <w:rPr>
          <w:rFonts w:eastAsia="Calibri"/>
          <w:bCs/>
          <w:sz w:val="24"/>
          <w:szCs w:val="24"/>
          <w:lang w:val="ro-RO"/>
        </w:rPr>
        <w:t>pentru oferte de vânzare publicate,</w:t>
      </w:r>
    </w:p>
    <w:p w14:paraId="7DFE1060" w14:textId="2002AF48" w:rsidR="009F27B2" w:rsidRDefault="009F27B2"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27B2">
        <w:rPr>
          <w:rFonts w:eastAsia="Calibri"/>
          <w:bCs/>
          <w:sz w:val="24"/>
          <w:szCs w:val="24"/>
          <w:lang w:val="ro-RO"/>
        </w:rPr>
        <w:t xml:space="preserve">   b) preț maxim (Pmax) - în cazul licitațiilor organizate pentru oferte de cumpărare publicate.</w:t>
      </w:r>
    </w:p>
    <w:p w14:paraId="20744C71" w14:textId="77777777" w:rsidR="001F24C1" w:rsidRPr="001F24C1" w:rsidRDefault="001F24C1" w:rsidP="001F24C1">
      <w:pPr>
        <w:pStyle w:val="ListParagraph"/>
        <w:tabs>
          <w:tab w:val="left" w:pos="851"/>
          <w:tab w:val="left" w:pos="1440"/>
        </w:tabs>
        <w:spacing w:before="120" w:after="120" w:line="276" w:lineRule="auto"/>
        <w:ind w:left="426" w:firstLine="0"/>
        <w:rPr>
          <w:rFonts w:eastAsia="Calibri"/>
          <w:bCs/>
          <w:sz w:val="24"/>
          <w:szCs w:val="24"/>
          <w:lang w:val="ro-RO"/>
        </w:rPr>
      </w:pPr>
      <w:r w:rsidRPr="004352AB">
        <w:rPr>
          <w:rFonts w:eastAsia="Calibri"/>
          <w:bCs/>
          <w:sz w:val="24"/>
          <w:szCs w:val="24"/>
          <w:lang w:val="ro-RO"/>
        </w:rPr>
        <w:t>32</w:t>
      </w:r>
      <w:r w:rsidRPr="004352AB">
        <w:rPr>
          <w:rFonts w:eastAsia="Calibri"/>
          <w:bCs/>
          <w:sz w:val="24"/>
          <w:szCs w:val="24"/>
          <w:vertAlign w:val="superscript"/>
          <w:lang w:val="ro-RO"/>
        </w:rPr>
        <w:t>16</w:t>
      </w:r>
      <w:r w:rsidRPr="004352AB">
        <w:rPr>
          <w:rFonts w:eastAsia="Calibri"/>
          <w:bCs/>
          <w:sz w:val="24"/>
          <w:szCs w:val="24"/>
          <w:lang w:val="ro-RO"/>
        </w:rPr>
        <w:t>. Ofertele inițiatoare de energie electrică vor preciza opțiunea privind tranzacționarea, și anume:</w:t>
      </w:r>
    </w:p>
    <w:p w14:paraId="28A541AD" w14:textId="40E2E8FC" w:rsidR="001F24C1" w:rsidRPr="001F24C1" w:rsidRDefault="001F24C1" w:rsidP="001F24C1">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 xml:space="preserve">  a) integrală, cu un singur part</w:t>
      </w:r>
      <w:r w:rsidR="004352AB">
        <w:rPr>
          <w:rFonts w:eastAsia="Calibri"/>
          <w:bCs/>
          <w:sz w:val="24"/>
          <w:szCs w:val="24"/>
          <w:lang w:val="ro-RO"/>
        </w:rPr>
        <w:t>icipant câștigător, a întregii</w:t>
      </w:r>
      <w:r w:rsidRPr="001F24C1">
        <w:rPr>
          <w:rFonts w:eastAsia="Calibri"/>
          <w:bCs/>
          <w:sz w:val="24"/>
          <w:szCs w:val="24"/>
          <w:lang w:val="ro-RO"/>
        </w:rPr>
        <w:t xml:space="preserve"> puteri ofertate;</w:t>
      </w:r>
    </w:p>
    <w:p w14:paraId="08D645F1" w14:textId="45CE003F"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 xml:space="preserve">  b) parțială, cu unul sau cu mai mulți participanți câștigători, a  puterii pe interval de decontare ofertate. Tranzacționarea parțială implică păstrarea profilului de livrare propus și a duratei livrării. Pentru puteri pe interval de decontare mai mari de 10 MW, nu este permisă decât opțiunea de tranzacționare parțială, cu unul sau cu mai mulți participanți câștigători. Alegerea opțiunii de tranzacționare parțială cu mai mulți participanți câștigători nu exclude posibilitatea tranzacționării integrale cu un singur participant câștigător, dacă așa rezultă în urma aplicării regulilor de corelare.</w:t>
      </w:r>
    </w:p>
    <w:p w14:paraId="0641CCA0" w14:textId="01B9A339"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32</w:t>
      </w:r>
      <w:r w:rsidRPr="00735C54">
        <w:rPr>
          <w:rFonts w:eastAsia="Calibri"/>
          <w:bCs/>
          <w:sz w:val="24"/>
          <w:szCs w:val="24"/>
          <w:vertAlign w:val="superscript"/>
          <w:lang w:val="ro-RO"/>
        </w:rPr>
        <w:t>17</w:t>
      </w:r>
      <w:r w:rsidRPr="001F24C1">
        <w:rPr>
          <w:rFonts w:eastAsia="Calibri"/>
          <w:bCs/>
          <w:sz w:val="24"/>
          <w:szCs w:val="24"/>
          <w:lang w:val="ro-RO"/>
        </w:rPr>
        <w:t>. Ofertele inițiatoare de energie electrică pot preciza opțiunea privind utilizarea unei formule de ajustare a prețului de atribuire a contractului/contractelor (prețul de închidere a licitației). Formula de ajustare a prețului va conține ca singură variabilă evoluția unui indice bursier public din domeniul energiei electrice, care se specifică clar în cadrul anexelor contractul</w:t>
      </w:r>
      <w:r w:rsidR="004352AB">
        <w:rPr>
          <w:rFonts w:eastAsia="Calibri"/>
          <w:bCs/>
          <w:sz w:val="24"/>
          <w:szCs w:val="24"/>
          <w:lang w:val="ro-RO"/>
        </w:rPr>
        <w:t>ui și este acceptată de către pă</w:t>
      </w:r>
      <w:r w:rsidRPr="001F24C1">
        <w:rPr>
          <w:rFonts w:eastAsia="Calibri"/>
          <w:bCs/>
          <w:sz w:val="24"/>
          <w:szCs w:val="24"/>
          <w:lang w:val="ro-RO"/>
        </w:rPr>
        <w:t>rți prin semnarea contractului. Formula de ajustare a prețului se aplică lunar, începând cu prima zi de livrare. În cazul atribuirii unei oferte inițiatoare cu formula de ajustare a prețului, acceptarea de către respondent a opț</w:t>
      </w:r>
      <w:r w:rsidR="004352AB">
        <w:rPr>
          <w:rFonts w:eastAsia="Calibri"/>
          <w:bCs/>
          <w:sz w:val="24"/>
          <w:szCs w:val="24"/>
          <w:lang w:val="ro-RO"/>
        </w:rPr>
        <w:t>iunii se consemnează de către pă</w:t>
      </w:r>
      <w:r w:rsidRPr="001F24C1">
        <w:rPr>
          <w:rFonts w:eastAsia="Calibri"/>
          <w:bCs/>
          <w:sz w:val="24"/>
          <w:szCs w:val="24"/>
          <w:lang w:val="ro-RO"/>
        </w:rPr>
        <w:t>rți la semnarea contractului și constituie angajament ferm privind condițiile de derulare a contractului</w:t>
      </w:r>
      <w:r>
        <w:rPr>
          <w:rFonts w:eastAsia="Calibri"/>
          <w:bCs/>
          <w:sz w:val="24"/>
          <w:szCs w:val="24"/>
          <w:lang w:val="ro-RO"/>
        </w:rPr>
        <w:t>.</w:t>
      </w:r>
    </w:p>
    <w:p w14:paraId="322700B9" w14:textId="06F97B50"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1F24C1">
        <w:rPr>
          <w:rFonts w:eastAsia="Calibri"/>
          <w:bCs/>
          <w:sz w:val="24"/>
          <w:szCs w:val="24"/>
          <w:lang w:val="ro-RO"/>
        </w:rPr>
        <w:t>32</w:t>
      </w:r>
      <w:r w:rsidRPr="00735C54">
        <w:rPr>
          <w:rFonts w:eastAsia="Calibri"/>
          <w:bCs/>
          <w:sz w:val="24"/>
          <w:szCs w:val="24"/>
          <w:vertAlign w:val="superscript"/>
          <w:lang w:val="ro-RO"/>
        </w:rPr>
        <w:t>18</w:t>
      </w:r>
      <w:r w:rsidRPr="001F24C1">
        <w:rPr>
          <w:rFonts w:eastAsia="Calibri"/>
          <w:bCs/>
          <w:sz w:val="24"/>
          <w:szCs w:val="24"/>
          <w:lang w:val="ro-RO"/>
        </w:rPr>
        <w:t>. Ofertele inițiatoare de energie electrică pot preciza opțiunea privind procentul de variație maximă a cantităț</w:t>
      </w:r>
      <w:r w:rsidR="004352AB">
        <w:rPr>
          <w:rFonts w:eastAsia="Calibri"/>
          <w:bCs/>
          <w:sz w:val="24"/>
          <w:szCs w:val="24"/>
          <w:lang w:val="ro-RO"/>
        </w:rPr>
        <w:t>ii pe interval de decontare faț</w:t>
      </w:r>
      <w:r w:rsidRPr="001F24C1">
        <w:rPr>
          <w:rFonts w:eastAsia="Calibri"/>
          <w:bCs/>
          <w:sz w:val="24"/>
          <w:szCs w:val="24"/>
          <w:lang w:val="ro-RO"/>
        </w:rPr>
        <w:t xml:space="preserve">ă de valoarea prevăzută în ofertă. Procentul maxim de variație a cantității pe interval de decontare față de valoarea prevăzută în ofertă, nu poate </w:t>
      </w:r>
      <w:r w:rsidRPr="001F24C1">
        <w:rPr>
          <w:rFonts w:eastAsia="Calibri"/>
          <w:bCs/>
          <w:sz w:val="24"/>
          <w:szCs w:val="24"/>
          <w:lang w:val="ro-RO"/>
        </w:rPr>
        <w:lastRenderedPageBreak/>
        <w:t>depăși 25%, respectiv 100% pentru ofertele inițiatoare transmise de producătorii de energie din surse regenerabile. Procentul maxim de variație a cantității pe interval de decontare se specifică clar în cadrul anexelor contractului. În cazul atribuirii unei oferte inițiatoare cu opțiune de variație a cantității pe interval de decontare, acceptarea de către respondent a opț</w:t>
      </w:r>
      <w:r w:rsidR="004352AB">
        <w:rPr>
          <w:rFonts w:eastAsia="Calibri"/>
          <w:bCs/>
          <w:sz w:val="24"/>
          <w:szCs w:val="24"/>
          <w:lang w:val="ro-RO"/>
        </w:rPr>
        <w:t>iunii se consemnează de către pă</w:t>
      </w:r>
      <w:r w:rsidRPr="001F24C1">
        <w:rPr>
          <w:rFonts w:eastAsia="Calibri"/>
          <w:bCs/>
          <w:sz w:val="24"/>
          <w:szCs w:val="24"/>
          <w:lang w:val="ro-RO"/>
        </w:rPr>
        <w:t>rți la semnarea contractului și constituie angajament ferm privind condițiile de derulare a contractului.</w:t>
      </w:r>
    </w:p>
    <w:p w14:paraId="43A8EBF0"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FADC7A9" w14:textId="4BD42352" w:rsidR="001F24C1" w:rsidRDefault="001F24C1"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Capitolul I</w:t>
      </w:r>
      <w:r w:rsidRPr="00735C54">
        <w:rPr>
          <w:rFonts w:eastAsia="Calibri"/>
          <w:bCs/>
          <w:sz w:val="24"/>
          <w:szCs w:val="24"/>
          <w:vertAlign w:val="superscript"/>
          <w:lang w:val="ro-RO"/>
        </w:rPr>
        <w:t>3</w:t>
      </w:r>
      <w:r w:rsidRPr="004C5FCD">
        <w:rPr>
          <w:rFonts w:eastAsia="Calibri"/>
          <w:bCs/>
          <w:sz w:val="24"/>
          <w:szCs w:val="24"/>
          <w:lang w:val="ro-RO"/>
        </w:rPr>
        <w:t xml:space="preserve"> </w:t>
      </w:r>
      <w:r w:rsidRPr="00735C54">
        <w:rPr>
          <w:rFonts w:eastAsia="Calibri"/>
          <w:bCs/>
          <w:sz w:val="24"/>
          <w:szCs w:val="24"/>
          <w:lang w:val="ro-RO"/>
        </w:rPr>
        <w:t>Transmiterea ofertelor coinițiatoare pe POCB</w:t>
      </w:r>
    </w:p>
    <w:p w14:paraId="245BD5AF"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00BDE2E" w14:textId="77777777" w:rsidR="004C5FCD" w:rsidRP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32</w:t>
      </w:r>
      <w:r w:rsidRPr="00735C54">
        <w:rPr>
          <w:rFonts w:eastAsia="Calibri"/>
          <w:bCs/>
          <w:sz w:val="24"/>
          <w:szCs w:val="24"/>
          <w:vertAlign w:val="superscript"/>
          <w:lang w:val="ro-RO"/>
        </w:rPr>
        <w:t>19</w:t>
      </w:r>
      <w:r w:rsidRPr="004C5FCD">
        <w:rPr>
          <w:rFonts w:eastAsia="Calibri"/>
          <w:bCs/>
          <w:sz w:val="24"/>
          <w:szCs w:val="24"/>
          <w:lang w:val="ro-RO"/>
        </w:rPr>
        <w:t>. Ofertele coinițiatoare de energie electrică sunt de același tip cu oferta inițiatoare pentru care se organizează sesiunea de licitație. Ofertele coinițiatoare de energie electrică pot fi de două categorii:</w:t>
      </w:r>
    </w:p>
    <w:p w14:paraId="79441A3C" w14:textId="77777777" w:rsidR="004C5FCD" w:rsidRP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 xml:space="preserve">  a) Ofertă coinițiatoare de vânzare cu preț minim (Pmin)   la oferta de vânzare (codul ofertei din anunţ), publicată împreună cu oferta inițiatoare de vânzare pentru atribuirea contractului de vânzare-cumpărare propus prin oferta inițiatoare.</w:t>
      </w:r>
    </w:p>
    <w:p w14:paraId="44AF61FD" w14:textId="72216CB1" w:rsidR="004C5FCD" w:rsidRDefault="004C5FCD" w:rsidP="004C5FCD">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b) Ofertă coinițiatoare de cumpărare cu preț maxim (Pmax) la oferta de cumpărare (codul ofertei din anunț) publicată împreună cu oferta inițiatoare de cumpărare pentru atribuirea contractului de vânzare-cumpărare propus prin oferta inițiatoare.</w:t>
      </w:r>
    </w:p>
    <w:p w14:paraId="6688EBBF" w14:textId="69EA0080"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32</w:t>
      </w:r>
      <w:r w:rsidRPr="00735C54">
        <w:rPr>
          <w:rFonts w:eastAsia="Calibri"/>
          <w:bCs/>
          <w:sz w:val="24"/>
          <w:szCs w:val="24"/>
          <w:vertAlign w:val="superscript"/>
          <w:lang w:val="ro-RO"/>
        </w:rPr>
        <w:t>20</w:t>
      </w:r>
      <w:r w:rsidRPr="004C5FCD">
        <w:rPr>
          <w:rFonts w:eastAsia="Calibri"/>
          <w:bCs/>
          <w:sz w:val="24"/>
          <w:szCs w:val="24"/>
          <w:lang w:val="ro-RO"/>
        </w:rPr>
        <w:t>. Ofertele coinițiatoare de energie electrică vor preciza aceeași cantitate de energie electrică, același profil zilnic de livrare și aceeași durată a livrării, aceeași opțiune privind tranzacționarea integrală/parțială, același sens, de vânzare sau de cumpărare, aceeași opțiune privind utilizarea unei formule de ajustare a prețului, aceeași opțiune privind procentul de variație maximă a cantității pe interval de dec</w:t>
      </w:r>
      <w:r w:rsidR="00AE4828">
        <w:rPr>
          <w:rFonts w:eastAsia="Calibri"/>
          <w:bCs/>
          <w:sz w:val="24"/>
          <w:szCs w:val="24"/>
          <w:lang w:val="ro-RO"/>
        </w:rPr>
        <w:t>ontare cu a ofertei inițiatoare</w:t>
      </w:r>
      <w:r w:rsidRPr="004C5FCD">
        <w:rPr>
          <w:rFonts w:eastAsia="Calibri"/>
          <w:bCs/>
          <w:sz w:val="24"/>
          <w:szCs w:val="24"/>
          <w:lang w:val="ro-RO"/>
        </w:rPr>
        <w:t xml:space="preserve"> publicată și implică aderarea la același contract cu aceasta.</w:t>
      </w:r>
    </w:p>
    <w:p w14:paraId="6334A0EF" w14:textId="77777777"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108013B0" w14:textId="31E2ED4F" w:rsidR="004C5FCD" w:rsidRDefault="004C5FC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4C5FCD">
        <w:rPr>
          <w:rFonts w:eastAsia="Calibri"/>
          <w:bCs/>
          <w:sz w:val="24"/>
          <w:szCs w:val="24"/>
          <w:lang w:val="ro-RO"/>
        </w:rPr>
        <w:t>Capitolul I</w:t>
      </w:r>
      <w:r w:rsidRPr="00735C54">
        <w:rPr>
          <w:rFonts w:eastAsia="Calibri"/>
          <w:bCs/>
          <w:sz w:val="24"/>
          <w:szCs w:val="24"/>
          <w:vertAlign w:val="superscript"/>
          <w:lang w:val="ro-RO"/>
        </w:rPr>
        <w:t>4</w:t>
      </w:r>
      <w:r>
        <w:rPr>
          <w:rFonts w:eastAsia="Calibri"/>
          <w:bCs/>
          <w:sz w:val="24"/>
          <w:szCs w:val="24"/>
          <w:lang w:val="ro-RO"/>
        </w:rPr>
        <w:t xml:space="preserve"> </w:t>
      </w:r>
      <w:r w:rsidRPr="00735C54">
        <w:rPr>
          <w:rFonts w:eastAsia="Calibri"/>
          <w:bCs/>
          <w:sz w:val="24"/>
          <w:szCs w:val="24"/>
          <w:lang w:val="ro-RO"/>
        </w:rPr>
        <w:t>Oferte de răspuns pe POCB</w:t>
      </w:r>
    </w:p>
    <w:p w14:paraId="69B6BF0C" w14:textId="77777777"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7E9E743" w14:textId="77777777"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21</w:t>
      </w:r>
      <w:r w:rsidRPr="002D70D7">
        <w:rPr>
          <w:rFonts w:eastAsia="Calibri"/>
          <w:bCs/>
          <w:sz w:val="24"/>
          <w:szCs w:val="24"/>
          <w:lang w:val="ro-RO"/>
        </w:rPr>
        <w:t>. Ofertă de vânzare - răspuns la oferta de cumpărare (codul ofertei din anunț) lansată ca răspuns la o ofertă de cumpărare inițiatoare publicată.</w:t>
      </w:r>
    </w:p>
    <w:p w14:paraId="6359EBF3" w14:textId="77777777"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22</w:t>
      </w:r>
      <w:r w:rsidRPr="002D70D7">
        <w:rPr>
          <w:rFonts w:eastAsia="Calibri"/>
          <w:bCs/>
          <w:sz w:val="24"/>
          <w:szCs w:val="24"/>
          <w:lang w:val="ro-RO"/>
        </w:rPr>
        <w:t>. Ofertă de cumpărare - răspuns la oferta de vânzare (codul ofertei din anunț) lansată ca răspuns la o ofertă de vânzare inițiatoare publicată.</w:t>
      </w:r>
    </w:p>
    <w:p w14:paraId="324DEA9F" w14:textId="1C7693FA"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23</w:t>
      </w:r>
      <w:r w:rsidRPr="002D70D7">
        <w:rPr>
          <w:rFonts w:eastAsia="Calibri"/>
          <w:bCs/>
          <w:sz w:val="24"/>
          <w:szCs w:val="24"/>
          <w:lang w:val="ro-RO"/>
        </w:rPr>
        <w:t>. Ofertele de răspuns sunt oferte ferme care răspund întocmai cerințelor unei oferte inițiatoarea și/sau coinițiatoare (dacă este cazul) publicate și conțin cantitatea oferită, prețul-limită acceptat și opțiunea privind tranzacționarea.</w:t>
      </w:r>
    </w:p>
    <w:p w14:paraId="2E93F9D8" w14:textId="77777777" w:rsidR="00A3101C" w:rsidRPr="00A3101C" w:rsidRDefault="00A3101C" w:rsidP="00A3101C">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32</w:t>
      </w:r>
      <w:r w:rsidRPr="00735C54">
        <w:rPr>
          <w:rFonts w:eastAsia="Calibri"/>
          <w:bCs/>
          <w:sz w:val="24"/>
          <w:szCs w:val="24"/>
          <w:vertAlign w:val="superscript"/>
          <w:lang w:val="ro-RO"/>
        </w:rPr>
        <w:t>24</w:t>
      </w:r>
      <w:r w:rsidRPr="00A3101C">
        <w:rPr>
          <w:rFonts w:eastAsia="Calibri"/>
          <w:bCs/>
          <w:sz w:val="24"/>
          <w:szCs w:val="24"/>
          <w:lang w:val="ro-RO"/>
        </w:rPr>
        <w:t>. Ofertele de răspuns vor preciza opțiunea privind tranzacționarea:</w:t>
      </w:r>
    </w:p>
    <w:p w14:paraId="7DE49A33" w14:textId="77777777" w:rsidR="00A3101C" w:rsidRPr="00A3101C" w:rsidRDefault="00A3101C" w:rsidP="00A3101C">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 xml:space="preserve">   a)  integrală, caz în care se va tranzacționa doar toată cantitatea ofertată;</w:t>
      </w:r>
    </w:p>
    <w:p w14:paraId="0C17AAED" w14:textId="45FC8259" w:rsidR="00A3101C" w:rsidRDefault="00A3101C"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A3101C">
        <w:rPr>
          <w:rFonts w:eastAsia="Calibri"/>
          <w:bCs/>
          <w:sz w:val="24"/>
          <w:szCs w:val="24"/>
          <w:lang w:val="ro-RO"/>
        </w:rPr>
        <w:t xml:space="preserve">   b) parțială, caz în care se va putea tranzacționa cel mult cantitatea ofertată.</w:t>
      </w:r>
    </w:p>
    <w:p w14:paraId="02C9627D" w14:textId="02D40A8A"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1BA4FB4C" w14:textId="11A21EDE"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Capitolul I</w:t>
      </w:r>
      <w:r w:rsidRPr="00735C54">
        <w:rPr>
          <w:rFonts w:eastAsia="Calibri"/>
          <w:bCs/>
          <w:sz w:val="24"/>
          <w:szCs w:val="24"/>
          <w:vertAlign w:val="superscript"/>
          <w:lang w:val="ro-RO"/>
        </w:rPr>
        <w:t>5</w:t>
      </w:r>
      <w:r>
        <w:rPr>
          <w:rFonts w:eastAsia="Calibri"/>
          <w:bCs/>
          <w:sz w:val="24"/>
          <w:szCs w:val="24"/>
          <w:lang w:val="ro-RO"/>
        </w:rPr>
        <w:t xml:space="preserve"> </w:t>
      </w:r>
      <w:r w:rsidRPr="00735C54">
        <w:rPr>
          <w:rFonts w:eastAsia="Calibri"/>
          <w:bCs/>
          <w:sz w:val="24"/>
          <w:szCs w:val="24"/>
          <w:lang w:val="ro-RO"/>
        </w:rPr>
        <w:t>Contractul cadru de vânzare/cumpărare</w:t>
      </w:r>
    </w:p>
    <w:p w14:paraId="1386E47F" w14:textId="38F8984E"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22CA671F" w14:textId="77777777"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25</w:t>
      </w:r>
      <w:r w:rsidRPr="002D70D7">
        <w:rPr>
          <w:rFonts w:eastAsia="Calibri"/>
          <w:bCs/>
          <w:sz w:val="24"/>
          <w:szCs w:val="24"/>
          <w:lang w:val="ro-RO"/>
        </w:rPr>
        <w:t>. Contractul-cadru utilizat în tranzacționarea pe POCB este elaborat de către OPEE, în urma unui proces de consultare publică, cu reținerea sau respingerea argumentată a propunerilor și observațiilor primite în urma consultării publice, și sunt publicate pe pagina proprie de internet a OPEE.</w:t>
      </w:r>
    </w:p>
    <w:p w14:paraId="49E2D173" w14:textId="533747BB"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26</w:t>
      </w:r>
      <w:r w:rsidR="008F3343">
        <w:rPr>
          <w:rFonts w:eastAsia="Calibri"/>
          <w:bCs/>
          <w:sz w:val="24"/>
          <w:szCs w:val="24"/>
          <w:lang w:val="ro-RO"/>
        </w:rPr>
        <w:t xml:space="preserve">. </w:t>
      </w:r>
      <w:r w:rsidR="008F3343" w:rsidRPr="008F3343">
        <w:rPr>
          <w:rFonts w:eastAsia="Calibri"/>
          <w:bCs/>
          <w:sz w:val="24"/>
          <w:szCs w:val="24"/>
          <w:lang w:val="ro-RO"/>
        </w:rPr>
        <w:t xml:space="preserve">Contractul propus de iniţiator, utilizat în </w:t>
      </w:r>
      <w:r w:rsidR="00505189" w:rsidRPr="008F3343">
        <w:rPr>
          <w:rFonts w:eastAsia="Calibri"/>
          <w:bCs/>
          <w:sz w:val="24"/>
          <w:szCs w:val="24"/>
          <w:lang w:val="ro-RO"/>
        </w:rPr>
        <w:t>tranzacționarea</w:t>
      </w:r>
      <w:r w:rsidR="008F3343" w:rsidRPr="008F3343">
        <w:rPr>
          <w:rFonts w:eastAsia="Calibri"/>
          <w:bCs/>
          <w:sz w:val="24"/>
          <w:szCs w:val="24"/>
          <w:lang w:val="ro-RO"/>
        </w:rPr>
        <w:t xml:space="preserve"> pe POCB, poate fi completat </w:t>
      </w:r>
      <w:r w:rsidR="00505189" w:rsidRPr="008F3343">
        <w:rPr>
          <w:rFonts w:eastAsia="Calibri"/>
          <w:bCs/>
          <w:sz w:val="24"/>
          <w:szCs w:val="24"/>
          <w:lang w:val="ro-RO"/>
        </w:rPr>
        <w:t>fată</w:t>
      </w:r>
      <w:r w:rsidR="008F3343" w:rsidRPr="008F3343">
        <w:rPr>
          <w:rFonts w:eastAsia="Calibri"/>
          <w:bCs/>
          <w:sz w:val="24"/>
          <w:szCs w:val="24"/>
          <w:lang w:val="ro-RO"/>
        </w:rPr>
        <w:t xml:space="preserve"> de contractul-cadru cu clauze specifice, privind exclusiv termenele de plată şi </w:t>
      </w:r>
      <w:r w:rsidR="00505189" w:rsidRPr="008F3343">
        <w:rPr>
          <w:rFonts w:eastAsia="Calibri"/>
          <w:bCs/>
          <w:sz w:val="24"/>
          <w:szCs w:val="24"/>
          <w:lang w:val="ro-RO"/>
        </w:rPr>
        <w:t>modalitățile</w:t>
      </w:r>
      <w:r w:rsidR="008F3343" w:rsidRPr="008F3343">
        <w:rPr>
          <w:rFonts w:eastAsia="Calibri"/>
          <w:bCs/>
          <w:sz w:val="24"/>
          <w:szCs w:val="24"/>
          <w:lang w:val="ro-RO"/>
        </w:rPr>
        <w:t xml:space="preserve"> de </w:t>
      </w:r>
      <w:r w:rsidR="008F3343" w:rsidRPr="008F3343">
        <w:rPr>
          <w:rFonts w:eastAsia="Calibri"/>
          <w:bCs/>
          <w:sz w:val="24"/>
          <w:szCs w:val="24"/>
          <w:lang w:val="ro-RO"/>
        </w:rPr>
        <w:lastRenderedPageBreak/>
        <w:t xml:space="preserve">plată, garanţii de bună execuție, garanții de bună plată (inclusiv modalitățile de constituire a garanțiilor financiare) și/sau </w:t>
      </w:r>
      <w:r w:rsidR="00505189" w:rsidRPr="008F3343">
        <w:rPr>
          <w:rFonts w:eastAsia="Calibri"/>
          <w:bCs/>
          <w:sz w:val="24"/>
          <w:szCs w:val="24"/>
          <w:lang w:val="ro-RO"/>
        </w:rPr>
        <w:t>penalitățile</w:t>
      </w:r>
      <w:r w:rsidR="008F3343" w:rsidRPr="008F3343">
        <w:rPr>
          <w:rFonts w:eastAsia="Calibri"/>
          <w:bCs/>
          <w:sz w:val="24"/>
          <w:szCs w:val="24"/>
          <w:lang w:val="ro-RO"/>
        </w:rPr>
        <w:t xml:space="preserve"> de natură financiară.</w:t>
      </w:r>
    </w:p>
    <w:p w14:paraId="52BB7742" w14:textId="793CB0E2" w:rsidR="002D70D7" w:rsidRPr="00735C54" w:rsidRDefault="002D70D7" w:rsidP="008F3343">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27</w:t>
      </w:r>
      <w:r w:rsidR="008F3343">
        <w:rPr>
          <w:rFonts w:eastAsia="Calibri"/>
          <w:bCs/>
          <w:sz w:val="24"/>
          <w:szCs w:val="24"/>
          <w:lang w:val="ro-RO"/>
        </w:rPr>
        <w:t xml:space="preserve">. </w:t>
      </w:r>
      <w:r w:rsidRPr="002D70D7">
        <w:rPr>
          <w:rFonts w:eastAsia="Calibri"/>
          <w:bCs/>
          <w:sz w:val="24"/>
          <w:szCs w:val="24"/>
          <w:lang w:val="ro-RO"/>
        </w:rPr>
        <w:t>Este interzisă modificarea, ulterior tranzacției, a clauzelor specifice referitoare la prețul de tranzacționare, durata livrării, cantitatea pe interval de decontare de energie electrică, profilul de livrare, precum și adăugarea alt</w:t>
      </w:r>
      <w:r w:rsidR="00505189">
        <w:rPr>
          <w:rFonts w:eastAsia="Calibri"/>
          <w:bCs/>
          <w:sz w:val="24"/>
          <w:szCs w:val="24"/>
          <w:lang w:val="ro-RO"/>
        </w:rPr>
        <w:t>or servicii, prin înțelegerea pă</w:t>
      </w:r>
      <w:r w:rsidRPr="002D70D7">
        <w:rPr>
          <w:rFonts w:eastAsia="Calibri"/>
          <w:bCs/>
          <w:sz w:val="24"/>
          <w:szCs w:val="24"/>
          <w:lang w:val="ro-RO"/>
        </w:rPr>
        <w:t>rților în mod tacit sau pe baza unor acte adiționale, a prevederilor contractului-cadru propus.</w:t>
      </w:r>
      <w:r w:rsidR="008F3343">
        <w:rPr>
          <w:rFonts w:eastAsia="Calibri"/>
          <w:bCs/>
          <w:sz w:val="24"/>
          <w:szCs w:val="24"/>
          <w:lang w:val="ro-RO"/>
        </w:rPr>
        <w:t xml:space="preserve"> </w:t>
      </w:r>
      <w:r w:rsidRPr="00735C54">
        <w:rPr>
          <w:rFonts w:eastAsia="Calibri"/>
          <w:bCs/>
          <w:sz w:val="24"/>
          <w:szCs w:val="24"/>
          <w:lang w:val="ro-RO"/>
        </w:rPr>
        <w:t>Este interzisă introducerea în contractul-cadru sau în contractul propus de inițiator a clauzelor privind denunțarea unilaterală.</w:t>
      </w:r>
    </w:p>
    <w:p w14:paraId="7CDB0B65" w14:textId="28946268" w:rsidR="002D70D7" w:rsidRPr="002D70D7" w:rsidRDefault="002D70D7" w:rsidP="002D70D7">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28</w:t>
      </w:r>
      <w:r w:rsidRPr="002D70D7">
        <w:rPr>
          <w:rFonts w:eastAsia="Calibri"/>
          <w:bCs/>
          <w:sz w:val="24"/>
          <w:szCs w:val="24"/>
          <w:lang w:val="ro-RO"/>
        </w:rPr>
        <w:t>. Pentru utilizarea opțiunilor aferente pct. 32</w:t>
      </w:r>
      <w:r w:rsidRPr="00735C54">
        <w:rPr>
          <w:rFonts w:eastAsia="Calibri"/>
          <w:bCs/>
          <w:sz w:val="24"/>
          <w:szCs w:val="24"/>
          <w:vertAlign w:val="superscript"/>
          <w:lang w:val="ro-RO"/>
        </w:rPr>
        <w:t>17</w:t>
      </w:r>
      <w:r w:rsidRPr="002D70D7">
        <w:rPr>
          <w:rFonts w:eastAsia="Calibri"/>
          <w:bCs/>
          <w:sz w:val="24"/>
          <w:szCs w:val="24"/>
          <w:lang w:val="ro-RO"/>
        </w:rPr>
        <w:t xml:space="preserve"> și 32</w:t>
      </w:r>
      <w:r w:rsidRPr="00735C54">
        <w:rPr>
          <w:rFonts w:eastAsia="Calibri"/>
          <w:bCs/>
          <w:sz w:val="24"/>
          <w:szCs w:val="24"/>
          <w:vertAlign w:val="superscript"/>
          <w:lang w:val="ro-RO"/>
        </w:rPr>
        <w:t>18</w:t>
      </w:r>
      <w:r w:rsidRPr="002D70D7">
        <w:rPr>
          <w:rFonts w:eastAsia="Calibri"/>
          <w:bCs/>
          <w:sz w:val="24"/>
          <w:szCs w:val="24"/>
          <w:lang w:val="ro-RO"/>
        </w:rPr>
        <w:t xml:space="preserve"> acestea se specifică clar în cadrul anexelor contractului și</w:t>
      </w:r>
      <w:r w:rsidR="008F3343">
        <w:rPr>
          <w:rFonts w:eastAsia="Calibri"/>
          <w:bCs/>
          <w:sz w:val="24"/>
          <w:szCs w:val="24"/>
          <w:lang w:val="ro-RO"/>
        </w:rPr>
        <w:t xml:space="preserve"> sunt acceptate de către pă</w:t>
      </w:r>
      <w:r w:rsidRPr="002D70D7">
        <w:rPr>
          <w:rFonts w:eastAsia="Calibri"/>
          <w:bCs/>
          <w:sz w:val="24"/>
          <w:szCs w:val="24"/>
          <w:lang w:val="ro-RO"/>
        </w:rPr>
        <w:t>rți prin semnarea contractului.</w:t>
      </w:r>
    </w:p>
    <w:p w14:paraId="33F7BCB5" w14:textId="56B49F56" w:rsidR="002D70D7" w:rsidRDefault="002D70D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D70D7">
        <w:rPr>
          <w:rFonts w:eastAsia="Calibri"/>
          <w:bCs/>
          <w:sz w:val="24"/>
          <w:szCs w:val="24"/>
          <w:lang w:val="ro-RO"/>
        </w:rPr>
        <w:t>32</w:t>
      </w:r>
      <w:r w:rsidRPr="00735C54">
        <w:rPr>
          <w:rFonts w:eastAsia="Calibri"/>
          <w:bCs/>
          <w:sz w:val="24"/>
          <w:szCs w:val="24"/>
          <w:vertAlign w:val="superscript"/>
          <w:lang w:val="ro-RO"/>
        </w:rPr>
        <w:t>29</w:t>
      </w:r>
      <w:r w:rsidRPr="002D70D7">
        <w:rPr>
          <w:rFonts w:eastAsia="Calibri"/>
          <w:bCs/>
          <w:sz w:val="24"/>
          <w:szCs w:val="24"/>
          <w:lang w:val="ro-RO"/>
        </w:rPr>
        <w:t>. Ofertarea se realizează pe baza transmiterii la OP</w:t>
      </w:r>
      <w:r w:rsidR="009712CF">
        <w:rPr>
          <w:rFonts w:eastAsia="Calibri"/>
          <w:bCs/>
          <w:sz w:val="24"/>
          <w:szCs w:val="24"/>
          <w:lang w:val="ro-RO"/>
        </w:rPr>
        <w:t>EE</w:t>
      </w:r>
      <w:r w:rsidRPr="002D70D7">
        <w:rPr>
          <w:rFonts w:eastAsia="Calibri"/>
          <w:bCs/>
          <w:sz w:val="24"/>
          <w:szCs w:val="24"/>
          <w:lang w:val="ro-RO"/>
        </w:rPr>
        <w:t xml:space="preserve"> a ofertelor inițiatoare/coi</w:t>
      </w:r>
      <w:r w:rsidR="008F3343">
        <w:rPr>
          <w:rFonts w:eastAsia="Calibri"/>
          <w:bCs/>
          <w:sz w:val="24"/>
          <w:szCs w:val="24"/>
          <w:lang w:val="ro-RO"/>
        </w:rPr>
        <w:t>nițiatoare</w:t>
      </w:r>
      <w:r w:rsidRPr="002D70D7">
        <w:rPr>
          <w:rFonts w:eastAsia="Calibri"/>
          <w:bCs/>
          <w:sz w:val="24"/>
          <w:szCs w:val="24"/>
          <w:lang w:val="ro-RO"/>
        </w:rPr>
        <w:t xml:space="preserve"> și a contractelor-cadru propuse de inițiator, cu respectarea contractului-cadru, publicat pe pagina proprie de internet a OPEE.</w:t>
      </w:r>
    </w:p>
    <w:p w14:paraId="6A517D4E" w14:textId="06305279"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712CF">
        <w:rPr>
          <w:rFonts w:eastAsia="Calibri"/>
          <w:bCs/>
          <w:sz w:val="24"/>
          <w:szCs w:val="24"/>
          <w:lang w:val="ro-RO"/>
        </w:rPr>
        <w:t>32</w:t>
      </w:r>
      <w:r w:rsidRPr="00735C54">
        <w:rPr>
          <w:rFonts w:eastAsia="Calibri"/>
          <w:bCs/>
          <w:sz w:val="24"/>
          <w:szCs w:val="24"/>
          <w:vertAlign w:val="superscript"/>
          <w:lang w:val="ro-RO"/>
        </w:rPr>
        <w:t>30</w:t>
      </w:r>
      <w:r w:rsidRPr="009712CF">
        <w:rPr>
          <w:rFonts w:eastAsia="Calibri"/>
          <w:bCs/>
          <w:sz w:val="24"/>
          <w:szCs w:val="24"/>
          <w:lang w:val="ro-RO"/>
        </w:rPr>
        <w:t xml:space="preserve">. OPEE verifică conformitatea cu prevederile RPEE a oricărui tip de oferte propuse de oricare participant şi a contractului, le acceptă pe cele conforme şi le respinge pe cele neconforme, publicând pe pagina proprie de internet lista ofertelor respinse şi </w:t>
      </w:r>
      <w:r w:rsidR="00505189" w:rsidRPr="009712CF">
        <w:rPr>
          <w:rFonts w:eastAsia="Calibri"/>
          <w:bCs/>
          <w:sz w:val="24"/>
          <w:szCs w:val="24"/>
          <w:lang w:val="ro-RO"/>
        </w:rPr>
        <w:t>motivația</w:t>
      </w:r>
      <w:r w:rsidRPr="009712CF">
        <w:rPr>
          <w:rFonts w:eastAsia="Calibri"/>
          <w:bCs/>
          <w:sz w:val="24"/>
          <w:szCs w:val="24"/>
          <w:lang w:val="ro-RO"/>
        </w:rPr>
        <w:t xml:space="preserve"> acestei </w:t>
      </w:r>
      <w:r w:rsidR="00505189" w:rsidRPr="009712CF">
        <w:rPr>
          <w:rFonts w:eastAsia="Calibri"/>
          <w:bCs/>
          <w:sz w:val="24"/>
          <w:szCs w:val="24"/>
          <w:lang w:val="ro-RO"/>
        </w:rPr>
        <w:t>acțiuni</w:t>
      </w:r>
      <w:r w:rsidRPr="009712CF">
        <w:rPr>
          <w:rFonts w:eastAsia="Calibri"/>
          <w:bCs/>
          <w:sz w:val="24"/>
          <w:szCs w:val="24"/>
          <w:lang w:val="ro-RO"/>
        </w:rPr>
        <w:t>.</w:t>
      </w:r>
    </w:p>
    <w:p w14:paraId="2AB30C34" w14:textId="77777777"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6E0AC8A2" w14:textId="2B9C5A22" w:rsidR="009712CF" w:rsidRDefault="009712CF"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712CF">
        <w:rPr>
          <w:rFonts w:eastAsia="Calibri"/>
          <w:bCs/>
          <w:sz w:val="24"/>
          <w:szCs w:val="24"/>
          <w:lang w:val="ro-RO"/>
        </w:rPr>
        <w:t>Capitolul I</w:t>
      </w:r>
      <w:r w:rsidRPr="00735C54">
        <w:rPr>
          <w:rFonts w:eastAsia="Calibri"/>
          <w:bCs/>
          <w:sz w:val="24"/>
          <w:szCs w:val="24"/>
          <w:vertAlign w:val="superscript"/>
          <w:lang w:val="ro-RO"/>
        </w:rPr>
        <w:t>6</w:t>
      </w:r>
      <w:r>
        <w:rPr>
          <w:rFonts w:eastAsia="Calibri"/>
          <w:bCs/>
          <w:sz w:val="24"/>
          <w:szCs w:val="24"/>
          <w:lang w:val="ro-RO"/>
        </w:rPr>
        <w:t xml:space="preserve"> </w:t>
      </w:r>
      <w:r w:rsidRPr="00735C54">
        <w:rPr>
          <w:rFonts w:eastAsia="Calibri"/>
          <w:bCs/>
          <w:sz w:val="24"/>
          <w:szCs w:val="24"/>
          <w:lang w:val="ro-RO"/>
        </w:rPr>
        <w:t>Organizarea și desfășurarea sesiunilor de licitații</w:t>
      </w:r>
    </w:p>
    <w:p w14:paraId="283AA0F8" w14:textId="77777777" w:rsidR="007A0F3E"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70F19E1" w14:textId="2A9B35AE"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33</w:t>
      </w:r>
      <w:r w:rsidRPr="00735C54">
        <w:rPr>
          <w:rFonts w:eastAsia="Calibri"/>
          <w:bCs/>
          <w:sz w:val="24"/>
          <w:szCs w:val="24"/>
          <w:vertAlign w:val="superscript"/>
          <w:lang w:val="ro-RO"/>
        </w:rPr>
        <w:t>3</w:t>
      </w:r>
      <w:r>
        <w:rPr>
          <w:rFonts w:eastAsia="Calibri"/>
          <w:bCs/>
          <w:sz w:val="24"/>
          <w:szCs w:val="24"/>
          <w:vertAlign w:val="superscript"/>
          <w:lang w:val="ro-RO"/>
        </w:rPr>
        <w:t>1</w:t>
      </w:r>
      <w:r w:rsidRPr="007A0F3E">
        <w:rPr>
          <w:rFonts w:eastAsia="Calibri"/>
          <w:bCs/>
          <w:sz w:val="24"/>
          <w:szCs w:val="24"/>
          <w:lang w:val="ro-RO"/>
        </w:rPr>
        <w:t>. După acceptarea ofertei inițiatoare şi a contractului-cadru propus, OPEE programează câte o sesiune de tranzacționare pentru fiecare ofertă inițiatoare de vânzare sau de cumpărare acceptată şi asigură desfășurarea următoarelor activități preliminare:</w:t>
      </w:r>
    </w:p>
    <w:p w14:paraId="5960A5AD" w14:textId="77777777"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a) aducerea la cunoștința participanților la piață a ofertei inițiatoare, prin publicarea acesteia pe pagina de internet a OPEE, inclusiv a identității inițiatorului, împreună cu formatul de contract propus;</w:t>
      </w:r>
    </w:p>
    <w:p w14:paraId="6BC0CEFD" w14:textId="460CA121" w:rsidR="007A0F3E" w:rsidRPr="007A0F3E" w:rsidRDefault="007A0F3E" w:rsidP="007A0F3E">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b) depunerea la OPEE a ofertelor co</w:t>
      </w:r>
      <w:r w:rsidR="00505189">
        <w:rPr>
          <w:rFonts w:eastAsia="Calibri"/>
          <w:bCs/>
          <w:sz w:val="24"/>
          <w:szCs w:val="24"/>
          <w:lang w:val="ro-RO"/>
        </w:rPr>
        <w:t>inițiatoare</w:t>
      </w:r>
      <w:r w:rsidRPr="007A0F3E">
        <w:rPr>
          <w:rFonts w:eastAsia="Calibri"/>
          <w:bCs/>
          <w:sz w:val="24"/>
          <w:szCs w:val="24"/>
          <w:lang w:val="ro-RO"/>
        </w:rPr>
        <w:t xml:space="preserve"> și publicarea lor, imediat după depunere, până la o dată prealabilă celei de începere a sesiunii de tranzacționare, publicată odată cu oferta inițiatoare;</w:t>
      </w:r>
    </w:p>
    <w:p w14:paraId="274F32B6" w14:textId="3FCD0B0F" w:rsidR="009712CF"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7A0F3E">
        <w:rPr>
          <w:rFonts w:eastAsia="Calibri"/>
          <w:bCs/>
          <w:sz w:val="24"/>
          <w:szCs w:val="24"/>
          <w:lang w:val="ro-RO"/>
        </w:rPr>
        <w:t>c) depunerea la OPEE a ofertelor de răspuns ferme, conținând cantitatea oferită, dacă aceasta este diferită de cea din oferta inițiatoare, în cazul în care inițiatorul a optat pentru tranzacționarea parțială/cu mai mulți participanți, opțiunea privind tranzacționarea parțială și prețul-limită acceptat; până la deschiderea sesiunii de tranzacționare, acestea sunt supuse procesului de verificare și nu sunt dezvăluite altor participanți sau publicului.</w:t>
      </w:r>
    </w:p>
    <w:p w14:paraId="382E2806" w14:textId="6E489850" w:rsidR="007A0F3E" w:rsidRDefault="007A0F3E"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32</w:t>
      </w:r>
      <w:r w:rsidRPr="007A0F3E">
        <w:rPr>
          <w:rFonts w:eastAsia="Calibri"/>
          <w:bCs/>
          <w:sz w:val="24"/>
          <w:szCs w:val="24"/>
          <w:lang w:val="ro-RO"/>
        </w:rPr>
        <w:t>. În intervalul de timp cuprins între termenul de la pct.</w:t>
      </w:r>
      <w:r>
        <w:rPr>
          <w:rFonts w:eastAsia="Calibri"/>
          <w:bCs/>
          <w:sz w:val="24"/>
          <w:szCs w:val="24"/>
          <w:lang w:val="ro-RO"/>
        </w:rPr>
        <w:t xml:space="preserve"> </w:t>
      </w:r>
      <w:r w:rsidRPr="007A0F3E">
        <w:rPr>
          <w:rFonts w:eastAsia="Calibri"/>
          <w:bCs/>
          <w:sz w:val="24"/>
          <w:szCs w:val="24"/>
          <w:lang w:val="ro-RO"/>
        </w:rPr>
        <w:t>32</w:t>
      </w:r>
      <w:r w:rsidRPr="00735C54">
        <w:rPr>
          <w:rFonts w:eastAsia="Calibri"/>
          <w:bCs/>
          <w:sz w:val="24"/>
          <w:szCs w:val="24"/>
          <w:vertAlign w:val="superscript"/>
          <w:lang w:val="ro-RO"/>
        </w:rPr>
        <w:t>31</w:t>
      </w:r>
      <w:r w:rsidRPr="007A0F3E">
        <w:rPr>
          <w:rFonts w:eastAsia="Calibri"/>
          <w:bCs/>
          <w:sz w:val="24"/>
          <w:szCs w:val="24"/>
          <w:lang w:val="ro-RO"/>
        </w:rPr>
        <w:t xml:space="preserve"> lit. b) şi deschiderea sesiunii de tranzacționare, participantul inițiator şi cei cu oferte coin</w:t>
      </w:r>
      <w:r w:rsidR="00A52C35">
        <w:rPr>
          <w:rFonts w:eastAsia="Calibri"/>
          <w:bCs/>
          <w:sz w:val="24"/>
          <w:szCs w:val="24"/>
          <w:lang w:val="ro-RO"/>
        </w:rPr>
        <w:t>ițiatoare</w:t>
      </w:r>
      <w:r w:rsidRPr="007A0F3E">
        <w:rPr>
          <w:rFonts w:eastAsia="Calibri"/>
          <w:bCs/>
          <w:sz w:val="24"/>
          <w:szCs w:val="24"/>
          <w:lang w:val="ro-RO"/>
        </w:rPr>
        <w:t xml:space="preserve"> pot modifica o singură dată prețul ofertei proprii, doar în sensul facilitării încheierii de tranzacții, și anume în creștere, în cazul ofertelor de cumpărare, respectiv în scădere, în cazul ofertelor de vânzare, şi nu cu mai mult de 5% fată de oferta inițiatoare/coin</w:t>
      </w:r>
      <w:r w:rsidR="00505189">
        <w:rPr>
          <w:rFonts w:eastAsia="Calibri"/>
          <w:bCs/>
          <w:sz w:val="24"/>
          <w:szCs w:val="24"/>
          <w:lang w:val="ro-RO"/>
        </w:rPr>
        <w:t>ițiatoare</w:t>
      </w:r>
      <w:r w:rsidRPr="007A0F3E">
        <w:rPr>
          <w:rFonts w:eastAsia="Calibri"/>
          <w:bCs/>
          <w:sz w:val="24"/>
          <w:szCs w:val="24"/>
          <w:lang w:val="ro-RO"/>
        </w:rPr>
        <w:t xml:space="preserve"> cu cel mai bun preț; aceste modificări nu sunt dezvăluite altor participanți sau publicului înainte de deschiderea sesiunii de tranzacționare.</w:t>
      </w:r>
    </w:p>
    <w:p w14:paraId="480CA8D4" w14:textId="07C70224" w:rsidR="009A5E66" w:rsidRPr="009A5E66" w:rsidRDefault="009A5E66" w:rsidP="009A5E66">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33</w:t>
      </w:r>
      <w:r w:rsidRPr="009A5E66">
        <w:rPr>
          <w:rFonts w:eastAsia="Calibri"/>
          <w:bCs/>
          <w:sz w:val="24"/>
          <w:szCs w:val="24"/>
          <w:lang w:val="ro-RO"/>
        </w:rPr>
        <w:t>. Sesiunea de tranzacționare începe prin publicarea concomitentă a celor mai recente oferte ale participantului inițiator/participanților coin</w:t>
      </w:r>
      <w:r w:rsidR="00505189">
        <w:rPr>
          <w:rFonts w:eastAsia="Calibri"/>
          <w:bCs/>
          <w:sz w:val="24"/>
          <w:szCs w:val="24"/>
          <w:lang w:val="ro-RO"/>
        </w:rPr>
        <w:t>ițiatori</w:t>
      </w:r>
      <w:r w:rsidRPr="009A5E66">
        <w:rPr>
          <w:rFonts w:eastAsia="Calibri"/>
          <w:bCs/>
          <w:sz w:val="24"/>
          <w:szCs w:val="24"/>
          <w:lang w:val="ro-RO"/>
        </w:rPr>
        <w:t xml:space="preserve"> şi a ofertelor de răspuns.</w:t>
      </w:r>
    </w:p>
    <w:p w14:paraId="1D5DF430" w14:textId="023529C5" w:rsidR="009A5E66" w:rsidRDefault="009A5E66"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34</w:t>
      </w:r>
      <w:r w:rsidRPr="009A5E66">
        <w:rPr>
          <w:rFonts w:eastAsia="Calibri"/>
          <w:bCs/>
          <w:sz w:val="24"/>
          <w:szCs w:val="24"/>
          <w:lang w:val="ro-RO"/>
        </w:rPr>
        <w:t>. În cazul retragerii unei oferte inițiatoare publicate sau de răspuns până la începerea sesiunii de tranzacționare, participantul va fi suspendat de la tranzacționare şi este obligat să plătească o sumă penalizatoare; nivelul penalității, precum şi modul de repartizare a acesteia se stabilesc în cadrul procedurilor operaționale elaborate de OPEE, şi publicate pe pagina proprie de internet.</w:t>
      </w:r>
    </w:p>
    <w:p w14:paraId="04D2A536" w14:textId="24EE4F8C"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32</w:t>
      </w:r>
      <w:r w:rsidRPr="00735C54">
        <w:rPr>
          <w:rFonts w:eastAsia="Calibri"/>
          <w:bCs/>
          <w:sz w:val="24"/>
          <w:szCs w:val="24"/>
          <w:vertAlign w:val="superscript"/>
          <w:lang w:val="ro-RO"/>
        </w:rPr>
        <w:t>35</w:t>
      </w:r>
      <w:r>
        <w:rPr>
          <w:rFonts w:eastAsia="Calibri"/>
          <w:bCs/>
          <w:sz w:val="24"/>
          <w:szCs w:val="24"/>
          <w:lang w:val="ro-RO"/>
        </w:rPr>
        <w:t xml:space="preserve">. </w:t>
      </w:r>
      <w:r w:rsidRPr="002B194D">
        <w:rPr>
          <w:rFonts w:eastAsia="Calibri"/>
          <w:bCs/>
          <w:sz w:val="24"/>
          <w:szCs w:val="24"/>
          <w:lang w:val="ro-RO"/>
        </w:rPr>
        <w:t xml:space="preserve">Încheierea </w:t>
      </w:r>
      <w:r w:rsidR="00505189" w:rsidRPr="002B194D">
        <w:rPr>
          <w:rFonts w:eastAsia="Calibri"/>
          <w:bCs/>
          <w:sz w:val="24"/>
          <w:szCs w:val="24"/>
          <w:lang w:val="ro-RO"/>
        </w:rPr>
        <w:t>tranzacțiilor</w:t>
      </w:r>
      <w:r w:rsidRPr="002B194D">
        <w:rPr>
          <w:rFonts w:eastAsia="Calibri"/>
          <w:bCs/>
          <w:sz w:val="24"/>
          <w:szCs w:val="24"/>
          <w:lang w:val="ro-RO"/>
        </w:rPr>
        <w:t xml:space="preserve"> pe POCB se realizează conform următoarelor reguli:</w:t>
      </w:r>
    </w:p>
    <w:p w14:paraId="2018C769" w14:textId="1911A68F"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lastRenderedPageBreak/>
        <w:t xml:space="preserve">a) ofertele se ordonează în sensul crescător al </w:t>
      </w:r>
      <w:r w:rsidR="00505189" w:rsidRPr="002B194D">
        <w:rPr>
          <w:rFonts w:eastAsia="Calibri"/>
          <w:bCs/>
          <w:sz w:val="24"/>
          <w:szCs w:val="24"/>
          <w:lang w:val="ro-RO"/>
        </w:rPr>
        <w:t>prețului</w:t>
      </w:r>
      <w:r w:rsidRPr="002B194D">
        <w:rPr>
          <w:rFonts w:eastAsia="Calibri"/>
          <w:bCs/>
          <w:sz w:val="24"/>
          <w:szCs w:val="24"/>
          <w:lang w:val="ro-RO"/>
        </w:rPr>
        <w:t xml:space="preserve">, pentru cele de vânzare, respectiv în sensul descrescător al </w:t>
      </w:r>
      <w:r w:rsidR="00505189" w:rsidRPr="002B194D">
        <w:rPr>
          <w:rFonts w:eastAsia="Calibri"/>
          <w:bCs/>
          <w:sz w:val="24"/>
          <w:szCs w:val="24"/>
          <w:lang w:val="ro-RO"/>
        </w:rPr>
        <w:t>prețului</w:t>
      </w:r>
      <w:r w:rsidRPr="002B194D">
        <w:rPr>
          <w:rFonts w:eastAsia="Calibri"/>
          <w:bCs/>
          <w:sz w:val="24"/>
          <w:szCs w:val="24"/>
          <w:lang w:val="ro-RO"/>
        </w:rPr>
        <w:t>, pentru cele de cumpărare;</w:t>
      </w:r>
    </w:p>
    <w:p w14:paraId="71A6C2DC" w14:textId="15DCCB49"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 xml:space="preserve">b) în cazul ofertelor cu obiect identic, şi anume de vânzare, respectiv de cumpărare care au </w:t>
      </w:r>
      <w:r w:rsidR="00505189" w:rsidRPr="002B194D">
        <w:rPr>
          <w:rFonts w:eastAsia="Calibri"/>
          <w:bCs/>
          <w:sz w:val="24"/>
          <w:szCs w:val="24"/>
          <w:lang w:val="ro-RO"/>
        </w:rPr>
        <w:t>același</w:t>
      </w:r>
      <w:r w:rsidRPr="002B194D">
        <w:rPr>
          <w:rFonts w:eastAsia="Calibri"/>
          <w:bCs/>
          <w:sz w:val="24"/>
          <w:szCs w:val="24"/>
          <w:lang w:val="ro-RO"/>
        </w:rPr>
        <w:t xml:space="preserve"> </w:t>
      </w:r>
      <w:r w:rsidR="00505189" w:rsidRPr="002B194D">
        <w:rPr>
          <w:rFonts w:eastAsia="Calibri"/>
          <w:bCs/>
          <w:sz w:val="24"/>
          <w:szCs w:val="24"/>
          <w:lang w:val="ro-RO"/>
        </w:rPr>
        <w:t>preț</w:t>
      </w:r>
      <w:r w:rsidRPr="002B194D">
        <w:rPr>
          <w:rFonts w:eastAsia="Calibri"/>
          <w:bCs/>
          <w:sz w:val="24"/>
          <w:szCs w:val="24"/>
          <w:lang w:val="ro-RO"/>
        </w:rPr>
        <w:t xml:space="preserve">, acestea se ordonează în ordine cronologică, în </w:t>
      </w:r>
      <w:r w:rsidR="00505189" w:rsidRPr="002B194D">
        <w:rPr>
          <w:rFonts w:eastAsia="Calibri"/>
          <w:bCs/>
          <w:sz w:val="24"/>
          <w:szCs w:val="24"/>
          <w:lang w:val="ro-RO"/>
        </w:rPr>
        <w:t>funcție</w:t>
      </w:r>
      <w:r w:rsidRPr="002B194D">
        <w:rPr>
          <w:rFonts w:eastAsia="Calibri"/>
          <w:bCs/>
          <w:sz w:val="24"/>
          <w:szCs w:val="24"/>
          <w:lang w:val="ro-RO"/>
        </w:rPr>
        <w:t xml:space="preserve"> de data şi ora la care au fost depuse/modificate;</w:t>
      </w:r>
    </w:p>
    <w:p w14:paraId="258E6936"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c) succesiv:</w:t>
      </w:r>
    </w:p>
    <w:p w14:paraId="6366F6AF"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(i) oferta de vânzare iniţiatoare/coiniţiatoare cu preţul cel mai mic sau, în cazul ofertelor cu opţiunea de tranzacţionare parţială, o parte din cantitatea aferentă acesteia, dacă intersecţia curbelor cererii şi ofertei conduce la secţionarea cantităţii ofertate, se corelează cu oferta de cumpărare de răspuns cu preţul cel mai mare şi care este mai mare sau egal cu cel al ofertei iniţiatoare/coiniţiatoare de vânzare sau, în cazul ofertelor de răspuns cu opţiunea de tranzacţionare parţială, o parte din cantitatea aferentă acesteia, dacă intersecţia curbelor cererii şi ofertei conduce la secţionarea cantităţii ofertate; sau</w:t>
      </w:r>
    </w:p>
    <w:p w14:paraId="00128F04"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(ii) oferta de cumpărare iniţiatoare/coiniţiatoare cu preţul cel mai mare sau, în cazul ofertelor cu opţiunea de tranzacţionare parţială, o parte din cantitatea aferentă acesteia, dacă intersecţia curbelor cererii şi ofertei conduce la secţionarea cantităţii ofertate, se corelează cu oferta de vânzare de răspuns cu preţul cel mai mic şi care este mai mic sau egal cu cel al ofertei iniţiatoare/coiniţiatoare de cumpărare sau, în cazul ofertelor de răspuns cu opţiunea de tranzacţionare parţială, o parte din cantitatea aferentă acesteia, dacă intersecţia curbelor cererii şi ofertei conduce la secţionarea cantităţii ofertate;</w:t>
      </w:r>
    </w:p>
    <w:p w14:paraId="63052E18" w14:textId="526F7D98"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d) în situaţia în care intersecţia curbelor cererii şi ofertei conduce la tranzacţionarea parţială a unei oferte de răspuns cu opţiunea de tranzacţionare integrală, aceasta este îndepărtată şi înlocuită cu următoarea ofertă cu acelaşi obiect, şi anume de vânzare sau</w:t>
      </w:r>
      <w:r w:rsidR="00505189">
        <w:rPr>
          <w:rFonts w:eastAsia="Calibri"/>
          <w:bCs/>
          <w:sz w:val="24"/>
          <w:szCs w:val="24"/>
          <w:lang w:val="ro-RO"/>
        </w:rPr>
        <w:t xml:space="preserve"> </w:t>
      </w:r>
      <w:r w:rsidRPr="002B194D">
        <w:rPr>
          <w:rFonts w:eastAsia="Calibri"/>
          <w:bCs/>
          <w:sz w:val="24"/>
          <w:szCs w:val="24"/>
          <w:lang w:val="ro-RO"/>
        </w:rPr>
        <w:t>de cumpărare, iar procesul se reia cu verificarea respectării condiţiilor corespunzătoare noii oferte.</w:t>
      </w:r>
    </w:p>
    <w:p w14:paraId="4C902469" w14:textId="7AB9EBB9" w:rsidR="002B194D" w:rsidRDefault="002B194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Pentru fiecare cuplu corelat, ofertele de răspuns declarate câştigătoare în urma corelării determină obligaţia respectivului participant la POCB de a încheia contractul în forma propusă de participantul iniţiator cu participantul cu a cărui ofertă a fost corelat, pentru cantitatea rezultată din corelare şi la preţul de închidere a licitaţiei, aflat la intersecţia dintre curba ofertei de vânzare şi curba ofertei de cumpărare.</w:t>
      </w:r>
    </w:p>
    <w:p w14:paraId="11054B57" w14:textId="5989AF9D"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32</w:t>
      </w:r>
      <w:r w:rsidRPr="00735C54">
        <w:rPr>
          <w:rFonts w:eastAsia="Calibri"/>
          <w:bCs/>
          <w:sz w:val="24"/>
          <w:szCs w:val="24"/>
          <w:vertAlign w:val="superscript"/>
          <w:lang w:val="ro-RO"/>
        </w:rPr>
        <w:t>36</w:t>
      </w:r>
      <w:r w:rsidRPr="002B194D">
        <w:rPr>
          <w:rFonts w:eastAsia="Calibri"/>
          <w:bCs/>
          <w:sz w:val="24"/>
          <w:szCs w:val="24"/>
          <w:lang w:val="ro-RO"/>
        </w:rPr>
        <w:t>. Preţul de închidere se determină după următoarele reguli:</w:t>
      </w:r>
    </w:p>
    <w:p w14:paraId="13280766"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a) curbele ofertei de vânzare şi ale celei de cumpărare sunt rezultate din unirea prin linii verticale a reprezentării ofertelor ordonate în funcţie de preţ şi prin terminarea fiecărei curbe printr-o linie verticală;</w:t>
      </w:r>
    </w:p>
    <w:p w14:paraId="01B08FC7" w14:textId="77777777" w:rsidR="002B194D" w:rsidRPr="002B194D" w:rsidRDefault="002B194D" w:rsidP="002B194D">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b) dacă există un singur punct de intersecţie sau dacă toate punctele de intersecţie au acelaşi preţ, acel preţ este preţul de închidere a licitaţiei;</w:t>
      </w:r>
    </w:p>
    <w:p w14:paraId="49951929" w14:textId="06BED0F3" w:rsidR="002B194D" w:rsidRDefault="002B194D"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2B194D">
        <w:rPr>
          <w:rFonts w:eastAsia="Calibri"/>
          <w:bCs/>
          <w:sz w:val="24"/>
          <w:szCs w:val="24"/>
          <w:lang w:val="ro-RO"/>
        </w:rPr>
        <w:t>c) dacă există mai multe puncte de intersecţie, iar acestea au preţuri diferite, preţul de închidere este media aritmetică a preţului minim şi a celui maxim corespunzătoare punctelor de intersecţie.</w:t>
      </w:r>
    </w:p>
    <w:p w14:paraId="23E40628" w14:textId="38E688B8" w:rsidR="00514677" w:rsidRPr="00514677" w:rsidRDefault="00514677" w:rsidP="00514677">
      <w:pPr>
        <w:pStyle w:val="ListParagraph"/>
        <w:tabs>
          <w:tab w:val="left" w:pos="851"/>
          <w:tab w:val="left" w:pos="1440"/>
        </w:tabs>
        <w:spacing w:before="120" w:after="120" w:line="276" w:lineRule="auto"/>
        <w:ind w:left="426" w:firstLine="0"/>
        <w:rPr>
          <w:rFonts w:eastAsia="Calibri"/>
          <w:bCs/>
          <w:sz w:val="24"/>
          <w:szCs w:val="24"/>
          <w:lang w:val="ro-RO"/>
        </w:rPr>
      </w:pPr>
      <w:r w:rsidRPr="00514677">
        <w:rPr>
          <w:rFonts w:eastAsia="Calibri"/>
          <w:bCs/>
          <w:sz w:val="24"/>
          <w:szCs w:val="24"/>
          <w:lang w:val="ro-RO"/>
        </w:rPr>
        <w:t>32</w:t>
      </w:r>
      <w:r w:rsidRPr="00735C54">
        <w:rPr>
          <w:rFonts w:eastAsia="Calibri"/>
          <w:bCs/>
          <w:sz w:val="24"/>
          <w:szCs w:val="24"/>
          <w:vertAlign w:val="superscript"/>
          <w:lang w:val="ro-RO"/>
        </w:rPr>
        <w:t>37</w:t>
      </w:r>
      <w:r>
        <w:rPr>
          <w:rFonts w:eastAsia="Calibri"/>
          <w:bCs/>
          <w:sz w:val="24"/>
          <w:szCs w:val="24"/>
          <w:lang w:val="ro-RO"/>
        </w:rPr>
        <w:t xml:space="preserve">. </w:t>
      </w:r>
      <w:r w:rsidRPr="00514677">
        <w:rPr>
          <w:rFonts w:eastAsia="Calibri"/>
          <w:bCs/>
          <w:sz w:val="24"/>
          <w:szCs w:val="24"/>
          <w:lang w:val="ro-RO"/>
        </w:rPr>
        <w:t xml:space="preserve">OPEE verifică încheierea fiecărui contract rezultat din tranzacţionare/conformitatea contractului semnat cu cel propus de participantul iniţiator. În cazul nerespectării acestei condiţii sau dacă se constată erori de redactare a contractului, OPEE anunţă părţile contractante în vederea corectării şi retransmiterii contractului în decurs de o zi lucrătoare, iar în caz de refuz sau neîncadrare în termen, OPEE solicită plata sumei penalizatoare de la fiecare participant în culpă, anunţă public identitatea acestuia şi lipsa valabilităţii contractului, suspendă participanţii în cauză de la tranzacţionare pe o perioadă care se termină la 10 zile calendaristice după data plăţii penalizării, publică informaţii despre suspendare şi informează ANRE; nivelul penalităţii, precum şi modul de repartizare a acesteia se stabilesc în cadrul procedurii specifice pieţei, </w:t>
      </w:r>
      <w:r w:rsidRPr="00514677">
        <w:rPr>
          <w:rFonts w:eastAsia="Calibri"/>
          <w:bCs/>
          <w:sz w:val="24"/>
          <w:szCs w:val="24"/>
          <w:lang w:val="ro-RO"/>
        </w:rPr>
        <w:lastRenderedPageBreak/>
        <w:t>rezultată în urma unui proces de consultare publică desfăşurat de OPEE şi publicată pe pagina proprie de internet.</w:t>
      </w:r>
    </w:p>
    <w:p w14:paraId="6162ABCE" w14:textId="21C74DC6" w:rsidR="00514677" w:rsidRDefault="00514677"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514677">
        <w:rPr>
          <w:rFonts w:eastAsia="Calibri"/>
          <w:bCs/>
          <w:sz w:val="24"/>
          <w:szCs w:val="24"/>
          <w:lang w:val="ro-RO"/>
        </w:rPr>
        <w:t>Prin excepţie, un participant poate refuza semnarea contractului fără aplicarea vreunei măsuri penalizatoare în cazul în care, în termen de 3 zile lucrătoare, acesta prezintă OPEE documente din care să rezulte că partenerul de contract face parte dintr-o listă de persoane fizice/juridice cu care este interzisă, prin reglementări naționale/ale UE, derularea de activități comerciale în domeniul energiei.</w:t>
      </w:r>
    </w:p>
    <w:p w14:paraId="75FF60A5" w14:textId="77777777" w:rsidR="00846688" w:rsidRDefault="00846688"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7238FBBD" w14:textId="401834D9" w:rsidR="00846688" w:rsidRDefault="00846688"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846688">
        <w:rPr>
          <w:rFonts w:eastAsia="Calibri"/>
          <w:bCs/>
          <w:sz w:val="24"/>
          <w:szCs w:val="24"/>
          <w:lang w:val="ro-RO"/>
        </w:rPr>
        <w:t>Capitolul I</w:t>
      </w:r>
      <w:r w:rsidRPr="00735C54">
        <w:rPr>
          <w:rFonts w:eastAsia="Calibri"/>
          <w:bCs/>
          <w:sz w:val="24"/>
          <w:szCs w:val="24"/>
          <w:vertAlign w:val="superscript"/>
          <w:lang w:val="ro-RO"/>
        </w:rPr>
        <w:t>7</w:t>
      </w:r>
      <w:r>
        <w:rPr>
          <w:rFonts w:eastAsia="Calibri"/>
          <w:bCs/>
          <w:sz w:val="24"/>
          <w:szCs w:val="24"/>
          <w:lang w:val="ro-RO"/>
        </w:rPr>
        <w:t xml:space="preserve"> </w:t>
      </w:r>
      <w:r w:rsidRPr="00735C54">
        <w:rPr>
          <w:rFonts w:eastAsia="Calibri"/>
          <w:bCs/>
          <w:sz w:val="24"/>
          <w:szCs w:val="24"/>
          <w:lang w:val="ro-RO"/>
        </w:rPr>
        <w:t>Transparența</w:t>
      </w:r>
    </w:p>
    <w:p w14:paraId="7BB04F68" w14:textId="77777777" w:rsidR="00A52C35" w:rsidRDefault="00A52C35"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2E0AB009" w14:textId="3A352D72"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38</w:t>
      </w:r>
      <w:r w:rsidRPr="00A52C35">
        <w:rPr>
          <w:rFonts w:eastAsia="Calibri"/>
          <w:bCs/>
          <w:sz w:val="24"/>
          <w:szCs w:val="24"/>
          <w:lang w:val="ro-RO"/>
        </w:rPr>
        <w:t>. După încheierea fiecărei sesiuni de tranzacționare organizate pe piața produselor flexibile la termen, OPEE publică pe pagina proprie de internet, în plus fată de cele prevăzute la pct.</w:t>
      </w:r>
      <w:r>
        <w:rPr>
          <w:rFonts w:eastAsia="Calibri"/>
          <w:bCs/>
          <w:sz w:val="24"/>
          <w:szCs w:val="24"/>
          <w:lang w:val="ro-RO"/>
        </w:rPr>
        <w:t xml:space="preserve"> </w:t>
      </w:r>
      <w:r w:rsidRPr="00A52C35">
        <w:rPr>
          <w:rFonts w:eastAsia="Calibri"/>
          <w:bCs/>
          <w:sz w:val="24"/>
          <w:szCs w:val="24"/>
          <w:lang w:val="ro-RO"/>
        </w:rPr>
        <w:t>32</w:t>
      </w:r>
      <w:r w:rsidRPr="00735C54">
        <w:rPr>
          <w:rFonts w:eastAsia="Calibri"/>
          <w:bCs/>
          <w:sz w:val="24"/>
          <w:szCs w:val="24"/>
          <w:vertAlign w:val="superscript"/>
          <w:lang w:val="ro-RO"/>
        </w:rPr>
        <w:t>5</w:t>
      </w:r>
      <w:r w:rsidRPr="00A52C35">
        <w:rPr>
          <w:rFonts w:eastAsia="Calibri"/>
          <w:bCs/>
          <w:sz w:val="24"/>
          <w:szCs w:val="24"/>
          <w:lang w:val="ro-RO"/>
        </w:rPr>
        <w:t>, pct.</w:t>
      </w:r>
      <w:r>
        <w:rPr>
          <w:rFonts w:eastAsia="Calibri"/>
          <w:bCs/>
          <w:sz w:val="24"/>
          <w:szCs w:val="24"/>
          <w:lang w:val="ro-RO"/>
        </w:rPr>
        <w:t xml:space="preserve"> </w:t>
      </w:r>
      <w:r w:rsidRPr="00A52C35">
        <w:rPr>
          <w:rFonts w:eastAsia="Calibri"/>
          <w:bCs/>
          <w:sz w:val="24"/>
          <w:szCs w:val="24"/>
          <w:lang w:val="ro-RO"/>
        </w:rPr>
        <w:t>32</w:t>
      </w:r>
      <w:r w:rsidRPr="00735C54">
        <w:rPr>
          <w:rFonts w:eastAsia="Calibri"/>
          <w:bCs/>
          <w:sz w:val="24"/>
          <w:szCs w:val="24"/>
          <w:vertAlign w:val="superscript"/>
          <w:lang w:val="ro-RO"/>
        </w:rPr>
        <w:t>10</w:t>
      </w:r>
      <w:r w:rsidRPr="00A52C35">
        <w:rPr>
          <w:rFonts w:eastAsia="Calibri"/>
          <w:bCs/>
          <w:sz w:val="24"/>
          <w:szCs w:val="24"/>
          <w:lang w:val="ro-RO"/>
        </w:rPr>
        <w:t xml:space="preserve"> și </w:t>
      </w:r>
      <w:r w:rsidRPr="00505189">
        <w:rPr>
          <w:rFonts w:eastAsia="Calibri"/>
          <w:bCs/>
          <w:sz w:val="24"/>
          <w:szCs w:val="24"/>
          <w:lang w:val="ro-RO"/>
        </w:rPr>
        <w:t>pct. 32</w:t>
      </w:r>
      <w:r w:rsidRPr="00505189">
        <w:rPr>
          <w:rFonts w:eastAsia="Calibri"/>
          <w:bCs/>
          <w:sz w:val="24"/>
          <w:szCs w:val="24"/>
          <w:vertAlign w:val="superscript"/>
          <w:lang w:val="ro-RO"/>
        </w:rPr>
        <w:t>35</w:t>
      </w:r>
      <w:r w:rsidRPr="00A52C35">
        <w:rPr>
          <w:rFonts w:eastAsia="Calibri"/>
          <w:bCs/>
          <w:sz w:val="24"/>
          <w:szCs w:val="24"/>
          <w:lang w:val="ro-RO"/>
        </w:rPr>
        <w:t>, o sinteză cuprinzând următoarele informații privind rezultatele înregistrate pe POCB:</w:t>
      </w:r>
    </w:p>
    <w:p w14:paraId="6B1019E4"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a) caracteristicile ofertei iniţiatoare: numele participantului iniţiator, obiectul ofertei, vânzare sau cumpărare, şi codul ofertei iniţiatoare, cantitatea pe interval de decontare şi profilul zilnic al livrărilor, opţiunea de tranzacţionare integrală/parţială, perioada de livrare (data de început şi de sfârşit a livrării), preţul de deschidere, contractul propus;</w:t>
      </w:r>
    </w:p>
    <w:p w14:paraId="63BE2AC0"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b)  preţul de închidere a licitaţiei;</w:t>
      </w:r>
    </w:p>
    <w:p w14:paraId="117AE962"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c) pentru fiecare tranzacţie încheiată, numele vânzătorului, numele cumpărătorului, cantitatea pe interval de decontare, cantitatea totală de energie electrică tranzacţionată şi existenţa condiţiilor de actualizare de preţ şi variaţie a puterii pe interval de decontare;</w:t>
      </w:r>
    </w:p>
    <w:p w14:paraId="33582214" w14:textId="77777777" w:rsidR="00A52C35" w:rsidRPr="00A52C35" w:rsidRDefault="00A52C35" w:rsidP="00A52C35">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d) preţul şi cantitatea aferente fiecărei oferte, inclusiv ale celor netranzacţionate;</w:t>
      </w:r>
    </w:p>
    <w:p w14:paraId="70AF8025" w14:textId="4F18ED46" w:rsidR="00A52C35" w:rsidRDefault="00A52C35"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A52C35">
        <w:rPr>
          <w:rFonts w:eastAsia="Calibri"/>
          <w:bCs/>
          <w:sz w:val="24"/>
          <w:szCs w:val="24"/>
          <w:lang w:val="ro-RO"/>
        </w:rPr>
        <w:t xml:space="preserve"> e) statistici, rapoarte periodice şi indici calculaţi în baza rezultatelor, în scopul stabilirii unor referinţe corecte de preţ pentru piaţa de energie electrică.</w:t>
      </w:r>
    </w:p>
    <w:p w14:paraId="0A536E06" w14:textId="77777777" w:rsidR="009F0E93"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4B2320DD" w14:textId="12C5C3BB" w:rsidR="009F0E93"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r w:rsidRPr="009F0E93">
        <w:rPr>
          <w:rFonts w:eastAsia="Calibri"/>
          <w:bCs/>
          <w:sz w:val="24"/>
          <w:szCs w:val="24"/>
          <w:lang w:val="ro-RO"/>
        </w:rPr>
        <w:t>Capitolul I</w:t>
      </w:r>
      <w:r w:rsidRPr="00735C54">
        <w:rPr>
          <w:rFonts w:eastAsia="Calibri"/>
          <w:bCs/>
          <w:sz w:val="24"/>
          <w:szCs w:val="24"/>
          <w:vertAlign w:val="superscript"/>
          <w:lang w:val="ro-RO"/>
        </w:rPr>
        <w:t>8</w:t>
      </w:r>
      <w:r>
        <w:rPr>
          <w:rFonts w:eastAsia="Calibri"/>
          <w:bCs/>
          <w:sz w:val="24"/>
          <w:szCs w:val="24"/>
          <w:vertAlign w:val="superscript"/>
          <w:lang w:val="ro-RO"/>
        </w:rPr>
        <w:t xml:space="preserve"> </w:t>
      </w:r>
      <w:r w:rsidRPr="00735C54">
        <w:rPr>
          <w:rFonts w:eastAsia="Calibri"/>
          <w:bCs/>
          <w:sz w:val="24"/>
          <w:szCs w:val="24"/>
          <w:lang w:val="ro-RO"/>
        </w:rPr>
        <w:t>Proceduri de urgență</w:t>
      </w:r>
    </w:p>
    <w:p w14:paraId="47F2889E" w14:textId="77777777" w:rsidR="009F0E93" w:rsidRPr="00735C54"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p>
    <w:p w14:paraId="32B22B07" w14:textId="368361E0" w:rsidR="009F0E93" w:rsidRPr="009F0E93" w:rsidRDefault="009F0E93" w:rsidP="009F0E93">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39</w:t>
      </w:r>
      <w:r w:rsidRPr="009F0E93">
        <w:rPr>
          <w:rFonts w:eastAsia="Calibri"/>
          <w:bCs/>
          <w:sz w:val="24"/>
          <w:szCs w:val="24"/>
          <w:lang w:val="ro-RO"/>
        </w:rPr>
        <w:t>. Sesiunea de licitaţie poate fi întreruptă de către reprezentanţii OPE</w:t>
      </w:r>
      <w:r>
        <w:rPr>
          <w:rFonts w:eastAsia="Calibri"/>
          <w:bCs/>
          <w:sz w:val="24"/>
          <w:szCs w:val="24"/>
          <w:lang w:val="ro-RO"/>
        </w:rPr>
        <w:t>E</w:t>
      </w:r>
      <w:r w:rsidRPr="009F0E93">
        <w:rPr>
          <w:rFonts w:eastAsia="Calibri"/>
          <w:bCs/>
          <w:sz w:val="24"/>
          <w:szCs w:val="24"/>
          <w:lang w:val="ro-RO"/>
        </w:rPr>
        <w:t xml:space="preserve">  autorizaţi în astfel de situaţii, în cazul unui eveniment sau a unui complex de condiţii de natură să împiedice desfăşurarea sesiunii de licitaţie. Aceste evenimente şi condiţii includ, dar nu sunt limitate la defectarea Platformei de tranzacţionare POCB din diverse cauze, cum ar fi: defecţiuni ale Platformei de tranzacţionare, avarii ale sistemului de alimentare cu energie a Platformei de tranzacţionare sau ale unor subsisteme componente (internet, reţea internă).</w:t>
      </w:r>
    </w:p>
    <w:p w14:paraId="78298621" w14:textId="796941A8" w:rsidR="009F0E93" w:rsidRPr="009F0E93" w:rsidRDefault="009F0E93" w:rsidP="009F0E93">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40</w:t>
      </w:r>
      <w:r w:rsidRPr="009F0E93">
        <w:rPr>
          <w:rFonts w:eastAsia="Calibri"/>
          <w:bCs/>
          <w:sz w:val="24"/>
          <w:szCs w:val="24"/>
          <w:lang w:val="ro-RO"/>
        </w:rPr>
        <w:t>. În cazul în care sesiunea de tranzacţionare se întreru</w:t>
      </w:r>
      <w:r>
        <w:rPr>
          <w:rFonts w:eastAsia="Calibri"/>
          <w:bCs/>
          <w:sz w:val="24"/>
          <w:szCs w:val="24"/>
          <w:lang w:val="ro-RO"/>
        </w:rPr>
        <w:t xml:space="preserve">pe de către reprezentanţii OPEE </w:t>
      </w:r>
      <w:r w:rsidRPr="009F0E93">
        <w:rPr>
          <w:rFonts w:eastAsia="Calibri"/>
          <w:bCs/>
          <w:sz w:val="24"/>
          <w:szCs w:val="24"/>
          <w:lang w:val="ro-RO"/>
        </w:rPr>
        <w:t>sau Platforma de tranzacționare este oprită forţat din cauze tehnice (distinct de oprirea Platformei de tranzacționare de către reprezentanţii OP</w:t>
      </w:r>
      <w:r>
        <w:rPr>
          <w:rFonts w:eastAsia="Calibri"/>
          <w:bCs/>
          <w:sz w:val="24"/>
          <w:szCs w:val="24"/>
          <w:lang w:val="ro-RO"/>
        </w:rPr>
        <w:t>EE</w:t>
      </w:r>
      <w:r w:rsidRPr="009F0E93">
        <w:rPr>
          <w:rFonts w:eastAsia="Calibri"/>
          <w:bCs/>
          <w:sz w:val="24"/>
          <w:szCs w:val="24"/>
          <w:lang w:val="ro-RO"/>
        </w:rPr>
        <w:t>), reluarea tranzacţiilor se realizează de îndată ce condiţiile permit desfăşurarea normală a sesiunii de tranzacţionare.</w:t>
      </w:r>
    </w:p>
    <w:p w14:paraId="5F6F3E80" w14:textId="4D45841A" w:rsidR="00846688" w:rsidRPr="00735C54" w:rsidRDefault="009F0E93" w:rsidP="00735C54">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32</w:t>
      </w:r>
      <w:r w:rsidRPr="00735C54">
        <w:rPr>
          <w:rFonts w:eastAsia="Calibri"/>
          <w:bCs/>
          <w:sz w:val="24"/>
          <w:szCs w:val="24"/>
          <w:vertAlign w:val="superscript"/>
          <w:lang w:val="ro-RO"/>
        </w:rPr>
        <w:t>41</w:t>
      </w:r>
      <w:r w:rsidRPr="009F0E93">
        <w:rPr>
          <w:rFonts w:eastAsia="Calibri"/>
          <w:bCs/>
          <w:sz w:val="24"/>
          <w:szCs w:val="24"/>
          <w:lang w:val="ro-RO"/>
        </w:rPr>
        <w:t xml:space="preserve">. Participanţii la POCB sunt anunţaţi în cadrul sesiunii de licitație asupra deciziilor luate în situaţiile speciale enunțate în </w:t>
      </w:r>
      <w:r>
        <w:rPr>
          <w:rFonts w:eastAsia="Calibri"/>
          <w:bCs/>
          <w:sz w:val="24"/>
          <w:szCs w:val="24"/>
          <w:lang w:val="ro-RO"/>
        </w:rPr>
        <w:t>Procedura</w:t>
      </w:r>
      <w:r w:rsidRPr="009F0E93">
        <w:rPr>
          <w:rFonts w:eastAsia="Calibri"/>
          <w:bCs/>
          <w:sz w:val="24"/>
          <w:szCs w:val="24"/>
          <w:lang w:val="ro-RO"/>
        </w:rPr>
        <w:t xml:space="preserve"> </w:t>
      </w:r>
      <w:r>
        <w:rPr>
          <w:rFonts w:eastAsia="Calibri"/>
          <w:bCs/>
          <w:sz w:val="24"/>
          <w:szCs w:val="24"/>
          <w:lang w:val="ro-RO"/>
        </w:rPr>
        <w:t>privind tranzacționarea pe piața organizată a contractelor bilaterale</w:t>
      </w:r>
      <w:r w:rsidRPr="009F0E93">
        <w:rPr>
          <w:rFonts w:eastAsia="Calibri"/>
          <w:bCs/>
          <w:sz w:val="24"/>
          <w:szCs w:val="24"/>
          <w:lang w:val="ro-RO"/>
        </w:rPr>
        <w:t>.</w:t>
      </w:r>
    </w:p>
    <w:p w14:paraId="5B0D974B" w14:textId="77777777" w:rsidR="00B2631B" w:rsidRDefault="00B2631B" w:rsidP="004B78F7">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33 se expune în redacția următoare: </w:t>
      </w:r>
    </w:p>
    <w:p w14:paraId="72D78558" w14:textId="63A44B1E" w:rsidR="007E3BE6" w:rsidRDefault="00B2631B" w:rsidP="004B78F7">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„33. </w:t>
      </w:r>
      <w:r w:rsidRPr="00B2631B">
        <w:rPr>
          <w:rFonts w:eastAsia="Calibri"/>
          <w:bCs/>
          <w:sz w:val="24"/>
          <w:szCs w:val="24"/>
          <w:lang w:val="ro-RO"/>
        </w:rPr>
        <w:t>Toate contractele bilaterale de vânzare/cumpărare a energiei electrice, inclusiv contractele de vânzare-cumpărare</w:t>
      </w:r>
      <w:r>
        <w:rPr>
          <w:rFonts w:eastAsia="Calibri"/>
          <w:bCs/>
          <w:sz w:val="24"/>
          <w:szCs w:val="24"/>
          <w:lang w:val="ro-RO"/>
        </w:rPr>
        <w:t xml:space="preserve"> a</w:t>
      </w:r>
      <w:r w:rsidRPr="00B2631B">
        <w:rPr>
          <w:rFonts w:eastAsia="Calibri"/>
          <w:bCs/>
          <w:sz w:val="24"/>
          <w:szCs w:val="24"/>
          <w:lang w:val="ro-RO"/>
        </w:rPr>
        <w:t xml:space="preserve"> energie</w:t>
      </w:r>
      <w:r>
        <w:rPr>
          <w:rFonts w:eastAsia="Calibri"/>
          <w:bCs/>
          <w:sz w:val="24"/>
          <w:szCs w:val="24"/>
          <w:lang w:val="ro-RO"/>
        </w:rPr>
        <w:t>i electrice</w:t>
      </w:r>
      <w:r w:rsidRPr="00B2631B">
        <w:rPr>
          <w:rFonts w:eastAsia="Calibri"/>
          <w:bCs/>
          <w:sz w:val="24"/>
          <w:szCs w:val="24"/>
          <w:lang w:val="ro-RO"/>
        </w:rPr>
        <w:t xml:space="preserve"> încheiate pe POCB, precum și orice modificare a acestora trebuie înregistrate de către OPEE. Copia contractului se prezintă OPEE cu excluderea clauzelor referitoare la preț și plata energiei electrice. Înregistrarea de către OPEE este realizată </w:t>
      </w:r>
      <w:r w:rsidRPr="00B2631B">
        <w:rPr>
          <w:rFonts w:eastAsia="Calibri"/>
          <w:bCs/>
          <w:sz w:val="24"/>
          <w:szCs w:val="24"/>
          <w:lang w:val="ro-RO"/>
        </w:rPr>
        <w:lastRenderedPageBreak/>
        <w:t>în conformitate cu prezentul titlu, prin depunerea de către părțile semnatare a solicitărilor de înregistrare a contractului în termen de cel mult 5 zile lucrătoare din momentul semnării și cu cel puțin 3 zile lucrătoare înainte de începerea livrărilor de energie electrică conform contractului.</w:t>
      </w:r>
      <w:r>
        <w:rPr>
          <w:rFonts w:eastAsia="Calibri"/>
          <w:bCs/>
          <w:sz w:val="24"/>
          <w:szCs w:val="24"/>
          <w:lang w:val="ro-RO"/>
        </w:rPr>
        <w:t>”;</w:t>
      </w:r>
    </w:p>
    <w:p w14:paraId="7405AFF4" w14:textId="77777777" w:rsidR="001860DC" w:rsidRDefault="001860DC" w:rsidP="004B78F7">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37 se expune în redacția următoare: </w:t>
      </w:r>
    </w:p>
    <w:p w14:paraId="1E4BC5B7" w14:textId="68C1CDDC"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Pr>
          <w:rFonts w:eastAsia="Calibri"/>
          <w:bCs/>
          <w:sz w:val="24"/>
          <w:szCs w:val="24"/>
          <w:lang w:val="ro-RO"/>
        </w:rPr>
        <w:t>„</w:t>
      </w:r>
      <w:r w:rsidRPr="001860DC">
        <w:rPr>
          <w:rFonts w:eastAsia="Calibri"/>
          <w:bCs/>
          <w:sz w:val="24"/>
          <w:szCs w:val="24"/>
          <w:lang w:val="ro-RO"/>
        </w:rPr>
        <w:t xml:space="preserve">37. Perioadele de livrare a energiei electrice corespunzătoare contractelor bilaterale încheiate de </w:t>
      </w:r>
      <w:r w:rsidR="004B78F7" w:rsidRPr="001860DC">
        <w:rPr>
          <w:rFonts w:eastAsia="Calibri"/>
          <w:bCs/>
          <w:sz w:val="24"/>
          <w:szCs w:val="24"/>
          <w:lang w:val="ro-RO"/>
        </w:rPr>
        <w:t>părți</w:t>
      </w:r>
      <w:r w:rsidRPr="001860DC">
        <w:rPr>
          <w:rFonts w:eastAsia="Calibri"/>
          <w:bCs/>
          <w:sz w:val="24"/>
          <w:szCs w:val="24"/>
          <w:lang w:val="ro-RO"/>
        </w:rPr>
        <w:t xml:space="preserve"> trebuie să fie stabilite pentru fiecare interval de tranzacționare şi zi de livrare, începând cu ora 00-00 a fiecărei zile. Partea semnatară care transmite contractul la OPEE în vederea înregistrării acestuia, este obligată să transmit următoarele informații: </w:t>
      </w:r>
    </w:p>
    <w:p w14:paraId="5BECC243" w14:textId="74D6DE24"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1). puterea contractată a fi livrată pentru fiecare interval de tranzacționare (ora), din peri</w:t>
      </w:r>
      <w:r>
        <w:rPr>
          <w:rFonts w:eastAsia="Calibri"/>
          <w:bCs/>
          <w:sz w:val="24"/>
          <w:szCs w:val="24"/>
          <w:lang w:val="ro-RO"/>
        </w:rPr>
        <w:t>oada de derulare a contractului;</w:t>
      </w:r>
    </w:p>
    <w:p w14:paraId="24E57ACE" w14:textId="6E731F81" w:rsidR="001860DC" w:rsidRP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2). cantitatea</w:t>
      </w:r>
      <w:r>
        <w:rPr>
          <w:rFonts w:eastAsia="Calibri"/>
          <w:bCs/>
          <w:sz w:val="24"/>
          <w:szCs w:val="24"/>
          <w:lang w:val="ro-RO"/>
        </w:rPr>
        <w:t xml:space="preserve"> de energie electrică</w:t>
      </w:r>
      <w:r w:rsidRPr="001860DC">
        <w:rPr>
          <w:rFonts w:eastAsia="Calibri"/>
          <w:bCs/>
          <w:sz w:val="24"/>
          <w:szCs w:val="24"/>
          <w:lang w:val="ro-RO"/>
        </w:rPr>
        <w:t xml:space="preserve"> care va fi livrată în fiecare zi de livrare din peri</w:t>
      </w:r>
      <w:r>
        <w:rPr>
          <w:rFonts w:eastAsia="Calibri"/>
          <w:bCs/>
          <w:sz w:val="24"/>
          <w:szCs w:val="24"/>
          <w:lang w:val="ro-RO"/>
        </w:rPr>
        <w:t>oada de derulare a contractului;</w:t>
      </w:r>
    </w:p>
    <w:p w14:paraId="4660F7B8" w14:textId="061C97D4" w:rsidR="001860DC" w:rsidRDefault="001860DC" w:rsidP="004B78F7">
      <w:pPr>
        <w:pStyle w:val="ListParagraph"/>
        <w:tabs>
          <w:tab w:val="left" w:pos="851"/>
          <w:tab w:val="left" w:pos="1440"/>
        </w:tabs>
        <w:spacing w:before="120" w:after="120" w:line="276" w:lineRule="auto"/>
        <w:ind w:left="426" w:firstLine="0"/>
        <w:rPr>
          <w:rFonts w:eastAsia="Calibri"/>
          <w:bCs/>
          <w:sz w:val="24"/>
          <w:szCs w:val="24"/>
          <w:lang w:val="ro-RO"/>
        </w:rPr>
      </w:pPr>
      <w:r w:rsidRPr="001860DC">
        <w:rPr>
          <w:rFonts w:eastAsia="Calibri"/>
          <w:bCs/>
          <w:sz w:val="24"/>
          <w:szCs w:val="24"/>
          <w:lang w:val="ro-RO"/>
        </w:rPr>
        <w:t>3). cantitatea totală</w:t>
      </w:r>
      <w:r>
        <w:rPr>
          <w:rFonts w:eastAsia="Calibri"/>
          <w:bCs/>
          <w:sz w:val="24"/>
          <w:szCs w:val="24"/>
          <w:lang w:val="ro-RO"/>
        </w:rPr>
        <w:t xml:space="preserve"> de energie electrică</w:t>
      </w:r>
      <w:r w:rsidRPr="001860DC">
        <w:rPr>
          <w:rFonts w:eastAsia="Calibri"/>
          <w:bCs/>
          <w:sz w:val="24"/>
          <w:szCs w:val="24"/>
          <w:lang w:val="ro-RO"/>
        </w:rPr>
        <w:t xml:space="preserve"> care va fi livrată în perioada de derulare a contractului.</w:t>
      </w:r>
      <w:r>
        <w:rPr>
          <w:rFonts w:eastAsia="Calibri"/>
          <w:bCs/>
          <w:sz w:val="24"/>
          <w:szCs w:val="24"/>
          <w:lang w:val="ro-RO"/>
        </w:rPr>
        <w:t>”</w:t>
      </w:r>
    </w:p>
    <w:p w14:paraId="56B098D3" w14:textId="221979C3" w:rsidR="00EA7508" w:rsidRDefault="00EA7508" w:rsidP="004B78F7">
      <w:pPr>
        <w:pStyle w:val="ListParagraph"/>
        <w:numPr>
          <w:ilvl w:val="1"/>
          <w:numId w:val="1"/>
        </w:numPr>
        <w:tabs>
          <w:tab w:val="left" w:pos="426"/>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Punctul 44 se expune în redacția următoare: </w:t>
      </w:r>
    </w:p>
    <w:p w14:paraId="654D18D2" w14:textId="3FF9369A" w:rsidR="00EA7508" w:rsidRDefault="00EA7508" w:rsidP="004B78F7">
      <w:pPr>
        <w:pStyle w:val="ListParagraph"/>
        <w:tabs>
          <w:tab w:val="left" w:pos="426"/>
          <w:tab w:val="left" w:pos="1440"/>
        </w:tabs>
        <w:spacing w:before="120" w:after="120" w:line="276" w:lineRule="auto"/>
        <w:ind w:left="426" w:firstLine="0"/>
        <w:rPr>
          <w:rFonts w:eastAsia="Calibri"/>
          <w:bCs/>
          <w:sz w:val="24"/>
          <w:szCs w:val="24"/>
          <w:lang w:val="ro-RO"/>
        </w:rPr>
      </w:pPr>
      <w:r>
        <w:rPr>
          <w:rFonts w:eastAsia="Calibri"/>
          <w:bCs/>
          <w:sz w:val="24"/>
          <w:szCs w:val="24"/>
          <w:lang w:val="ro-RO"/>
        </w:rPr>
        <w:t xml:space="preserve">„44. </w:t>
      </w:r>
      <w:r w:rsidRPr="00EA7508">
        <w:rPr>
          <w:rFonts w:eastAsia="Calibri"/>
          <w:bCs/>
          <w:sz w:val="24"/>
          <w:szCs w:val="24"/>
          <w:lang w:val="ro-RO"/>
        </w:rPr>
        <w:t>OPEE informează părțile privind notificările validate în termen de o oră de la termenul limită de transmitere a notificărilor stabilit în pct.</w:t>
      </w:r>
      <w:r>
        <w:rPr>
          <w:rFonts w:eastAsia="Calibri"/>
          <w:bCs/>
          <w:sz w:val="24"/>
          <w:szCs w:val="24"/>
          <w:lang w:val="ro-RO"/>
        </w:rPr>
        <w:t xml:space="preserve"> </w:t>
      </w:r>
      <w:r w:rsidRPr="00EA7508">
        <w:rPr>
          <w:rFonts w:eastAsia="Calibri"/>
          <w:bCs/>
          <w:sz w:val="24"/>
          <w:szCs w:val="24"/>
          <w:lang w:val="ro-RO"/>
        </w:rPr>
        <w:t>39.</w:t>
      </w:r>
      <w:r>
        <w:rPr>
          <w:rFonts w:eastAsia="Calibri"/>
          <w:bCs/>
          <w:sz w:val="24"/>
          <w:szCs w:val="24"/>
          <w:lang w:val="ro-RO"/>
        </w:rPr>
        <w:t>”</w:t>
      </w:r>
    </w:p>
    <w:p w14:paraId="76E07B54" w14:textId="4D3C5D85" w:rsidR="00EA7508" w:rsidRDefault="00EA7508"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 xml:space="preserve">La </w:t>
      </w:r>
      <w:r w:rsidR="00373806">
        <w:rPr>
          <w:rFonts w:eastAsia="Calibri"/>
          <w:bCs/>
          <w:sz w:val="24"/>
          <w:szCs w:val="24"/>
          <w:lang w:val="ro-RO"/>
        </w:rPr>
        <w:t>p</w:t>
      </w:r>
      <w:r>
        <w:rPr>
          <w:rFonts w:eastAsia="Calibri"/>
          <w:bCs/>
          <w:sz w:val="24"/>
          <w:szCs w:val="24"/>
          <w:lang w:val="ro-RO"/>
        </w:rPr>
        <w:t xml:space="preserve">unctul 45 cuvântul „acceptă” se substituie cu cuvântul „validează”; </w:t>
      </w:r>
    </w:p>
    <w:p w14:paraId="0FE73BF1" w14:textId="559EB4CD" w:rsidR="00373806" w:rsidRDefault="00373806"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46 textul „90 de minute” se substituie cu textul „3 ore”</w:t>
      </w:r>
      <w:r w:rsidR="002217AB">
        <w:rPr>
          <w:rFonts w:eastAsia="Calibri"/>
          <w:bCs/>
          <w:sz w:val="24"/>
          <w:szCs w:val="24"/>
          <w:lang w:val="ro-RO"/>
        </w:rPr>
        <w:t xml:space="preserve"> iar cuvintele „și OST” se exclud</w:t>
      </w:r>
      <w:r>
        <w:rPr>
          <w:rFonts w:eastAsia="Calibri"/>
          <w:bCs/>
          <w:sz w:val="24"/>
          <w:szCs w:val="24"/>
          <w:lang w:val="ro-RO"/>
        </w:rPr>
        <w:t xml:space="preserve">; </w:t>
      </w:r>
    </w:p>
    <w:p w14:paraId="7F522823" w14:textId="491B83E8" w:rsidR="009C5DA5" w:rsidRDefault="009C5DA5"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Pr>
          <w:rFonts w:eastAsia="Calibri"/>
          <w:bCs/>
          <w:sz w:val="24"/>
          <w:szCs w:val="24"/>
          <w:lang w:val="ro-RO"/>
        </w:rPr>
        <w:t>La punctul 48 cuvântul „validate” se substituie cu textul „primite până la</w:t>
      </w:r>
      <w:r w:rsidR="00B64BD1">
        <w:rPr>
          <w:rFonts w:eastAsia="Calibri"/>
          <w:bCs/>
          <w:sz w:val="24"/>
          <w:szCs w:val="24"/>
          <w:lang w:val="ro-RO"/>
        </w:rPr>
        <w:t xml:space="preserve"> ora 12-00 inclusiv,</w:t>
      </w:r>
      <w:r>
        <w:rPr>
          <w:rFonts w:eastAsia="Calibri"/>
          <w:bCs/>
          <w:sz w:val="24"/>
          <w:szCs w:val="24"/>
          <w:lang w:val="ro-RO"/>
        </w:rPr>
        <w:t>”</w:t>
      </w:r>
      <w:r w:rsidR="00B64BD1">
        <w:rPr>
          <w:rFonts w:eastAsia="Calibri"/>
          <w:bCs/>
          <w:sz w:val="24"/>
          <w:szCs w:val="24"/>
          <w:lang w:val="ro-RO"/>
        </w:rPr>
        <w:t>;</w:t>
      </w:r>
    </w:p>
    <w:p w14:paraId="1C1A16FE" w14:textId="4A8F879B" w:rsidR="00B82205" w:rsidRPr="00E03193" w:rsidRDefault="001A555A"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Denumirea</w:t>
      </w:r>
      <w:r w:rsidR="000A303D" w:rsidRPr="00E03193">
        <w:rPr>
          <w:rFonts w:eastAsia="Calibri"/>
          <w:bCs/>
          <w:sz w:val="24"/>
          <w:szCs w:val="24"/>
          <w:lang w:val="ro-RO"/>
        </w:rPr>
        <w:t xml:space="preserve"> Titlului</w:t>
      </w:r>
      <w:r w:rsidRPr="00E03193">
        <w:rPr>
          <w:rFonts w:eastAsia="Calibri"/>
          <w:bCs/>
          <w:sz w:val="24"/>
          <w:szCs w:val="24"/>
          <w:lang w:val="ro-RO"/>
        </w:rPr>
        <w:t xml:space="preserve"> </w:t>
      </w:r>
      <w:r w:rsidR="00C94EB4" w:rsidRPr="00E03193">
        <w:rPr>
          <w:rFonts w:eastAsia="Calibri"/>
          <w:bCs/>
          <w:sz w:val="24"/>
          <w:szCs w:val="24"/>
          <w:lang w:val="ro-RO"/>
        </w:rPr>
        <w:t xml:space="preserve"> IV va avea următorul cuprins: „Regulile pieței intrazilnice”</w:t>
      </w:r>
    </w:p>
    <w:p w14:paraId="41C17A5F" w14:textId="066B7FD2" w:rsidR="00B82205" w:rsidRPr="00E03193" w:rsidRDefault="00C94EB4" w:rsidP="00B22EC3">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Punctul 169 va avea următorul cuprins:</w:t>
      </w:r>
    </w:p>
    <w:p w14:paraId="65135043" w14:textId="00A1A2CA" w:rsidR="00C94EB4" w:rsidRPr="00E03193" w:rsidRDefault="00C94EB4" w:rsidP="00C94EB4">
      <w:pPr>
        <w:tabs>
          <w:tab w:val="left" w:pos="851"/>
          <w:tab w:val="left" w:pos="1440"/>
        </w:tabs>
        <w:spacing w:before="120" w:after="120" w:line="276" w:lineRule="auto"/>
        <w:ind w:firstLine="0"/>
        <w:rPr>
          <w:rFonts w:eastAsia="Calibri"/>
          <w:bCs/>
          <w:sz w:val="24"/>
          <w:szCs w:val="24"/>
          <w:lang w:val="ro-RO"/>
        </w:rPr>
      </w:pPr>
      <w:r w:rsidRPr="00E03193">
        <w:rPr>
          <w:rFonts w:eastAsia="Calibri"/>
          <w:bCs/>
          <w:sz w:val="24"/>
          <w:szCs w:val="24"/>
          <w:lang w:val="ro-RO"/>
        </w:rPr>
        <w:t>„169. OPEE organizează și dezvoltă piața intrazilnică pe baza principiilor de nediscriminare, transparență, caracter public, stabilite de lege, și a prevederilor din prezentele Reguli.”;</w:t>
      </w:r>
    </w:p>
    <w:p w14:paraId="4042598B" w14:textId="6B5F8DD1" w:rsidR="007E7F1D" w:rsidRPr="00E03193" w:rsidRDefault="00CA1F38" w:rsidP="00CA1F38">
      <w:pPr>
        <w:pStyle w:val="ListParagraph"/>
        <w:numPr>
          <w:ilvl w:val="1"/>
          <w:numId w:val="1"/>
        </w:numPr>
        <w:tabs>
          <w:tab w:val="left" w:pos="851"/>
          <w:tab w:val="left" w:pos="1440"/>
        </w:tabs>
        <w:spacing w:before="120" w:after="120" w:line="276" w:lineRule="auto"/>
        <w:ind w:left="426" w:hanging="426"/>
        <w:rPr>
          <w:rFonts w:eastAsia="Calibri"/>
          <w:bCs/>
          <w:sz w:val="24"/>
          <w:szCs w:val="24"/>
          <w:lang w:val="ro-RO"/>
        </w:rPr>
      </w:pPr>
      <w:r w:rsidRPr="00E03193">
        <w:rPr>
          <w:rFonts w:eastAsia="Calibri"/>
          <w:bCs/>
          <w:sz w:val="24"/>
          <w:szCs w:val="24"/>
          <w:lang w:val="ro-RO"/>
        </w:rPr>
        <w:t>Punctul 231 va avea următorul cuprins:</w:t>
      </w:r>
    </w:p>
    <w:p w14:paraId="5843B838" w14:textId="7E9C9820" w:rsidR="00B22EC3" w:rsidRPr="00E03193" w:rsidRDefault="00CA1F38" w:rsidP="00B22EC3">
      <w:pPr>
        <w:tabs>
          <w:tab w:val="left" w:pos="851"/>
          <w:tab w:val="left" w:pos="1440"/>
        </w:tabs>
        <w:spacing w:line="276" w:lineRule="auto"/>
        <w:ind w:firstLine="0"/>
        <w:rPr>
          <w:rFonts w:eastAsia="Calibri"/>
          <w:bCs/>
          <w:sz w:val="24"/>
          <w:szCs w:val="24"/>
        </w:rPr>
      </w:pPr>
      <w:r w:rsidRPr="00E03193">
        <w:rPr>
          <w:rFonts w:eastAsia="Calibri"/>
          <w:bCs/>
          <w:sz w:val="24"/>
          <w:szCs w:val="24"/>
          <w:lang w:val="ro-RO"/>
        </w:rPr>
        <w:t>„</w:t>
      </w:r>
      <w:r w:rsidR="00256597">
        <w:rPr>
          <w:rFonts w:eastAsia="Calibri"/>
          <w:bCs/>
          <w:sz w:val="24"/>
          <w:szCs w:val="24"/>
          <w:lang w:val="ro-RO"/>
        </w:rPr>
        <w:t xml:space="preserve">231. </w:t>
      </w:r>
      <w:r w:rsidRPr="00E03193">
        <w:rPr>
          <w:rFonts w:eastAsia="Calibri"/>
          <w:bCs/>
          <w:sz w:val="24"/>
          <w:szCs w:val="24"/>
          <w:lang w:val="ro-RO"/>
        </w:rPr>
        <w:t>Realizarea fizică a obligațiilor contractuale necesită transmiterea la OST de către fiecare PRE și responsabil al grupului de echilibrare a notificărilor fizice privind toate schimburile de energie electrică între PRE-uri, respectiv, grupuri de echilibrare, în conformitate cu Regulamentul privind clauzele și condițiile pentru părțile responsabile pentru echilibrare elaborat de OST și aprobat de Agenție.”;</w:t>
      </w:r>
      <w:r w:rsidR="00B22EC3" w:rsidRPr="00E03193">
        <w:rPr>
          <w:rFonts w:eastAsia="Calibri"/>
          <w:bCs/>
          <w:sz w:val="24"/>
          <w:szCs w:val="24"/>
          <w:lang w:val="ro-RO"/>
        </w:rPr>
        <w:t xml:space="preserve">   </w:t>
      </w:r>
    </w:p>
    <w:p w14:paraId="46A962A3" w14:textId="76FD886B" w:rsidR="00395A18" w:rsidRPr="00E03193" w:rsidRDefault="004E7971" w:rsidP="00B22EC3">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Punctele 232 –</w:t>
      </w:r>
      <w:r w:rsidR="00A62CBF" w:rsidRPr="00E03193">
        <w:rPr>
          <w:rFonts w:eastAsia="Calibri"/>
          <w:bCs/>
          <w:sz w:val="24"/>
          <w:szCs w:val="24"/>
          <w:lang w:val="ro-RO"/>
        </w:rPr>
        <w:t xml:space="preserve"> 2</w:t>
      </w:r>
      <w:r w:rsidR="00A87F53">
        <w:rPr>
          <w:rFonts w:eastAsia="Calibri"/>
          <w:bCs/>
          <w:sz w:val="24"/>
          <w:szCs w:val="24"/>
          <w:lang w:val="ro-RO"/>
        </w:rPr>
        <w:t>37</w:t>
      </w:r>
      <w:r w:rsidR="00A62CBF" w:rsidRPr="00E03193">
        <w:rPr>
          <w:rFonts w:eastAsia="Calibri"/>
          <w:bCs/>
          <w:sz w:val="24"/>
          <w:szCs w:val="24"/>
          <w:lang w:val="ro-RO"/>
        </w:rPr>
        <w:t xml:space="preserve"> și</w:t>
      </w:r>
      <w:r w:rsidRPr="00E03193">
        <w:rPr>
          <w:rFonts w:eastAsia="Calibri"/>
          <w:bCs/>
          <w:sz w:val="24"/>
          <w:szCs w:val="24"/>
          <w:lang w:val="ro-RO"/>
        </w:rPr>
        <w:t xml:space="preserve"> 243 </w:t>
      </w:r>
      <w:r w:rsidR="003B59C6" w:rsidRPr="00E03193">
        <w:rPr>
          <w:rFonts w:eastAsia="Calibri"/>
          <w:bCs/>
          <w:sz w:val="24"/>
          <w:szCs w:val="24"/>
          <w:lang w:val="ro-RO"/>
        </w:rPr>
        <w:t xml:space="preserve">– 249 </w:t>
      </w:r>
      <w:r w:rsidRPr="00E03193">
        <w:rPr>
          <w:rFonts w:eastAsia="Calibri"/>
          <w:bCs/>
          <w:sz w:val="24"/>
          <w:szCs w:val="24"/>
          <w:lang w:val="ro-RO"/>
        </w:rPr>
        <w:t xml:space="preserve">se </w:t>
      </w:r>
      <w:r w:rsidR="004B78F7">
        <w:rPr>
          <w:rFonts w:eastAsia="Calibri"/>
          <w:bCs/>
          <w:sz w:val="24"/>
          <w:szCs w:val="24"/>
          <w:lang w:val="ro-RO"/>
        </w:rPr>
        <w:t>exclud</w:t>
      </w:r>
      <w:r w:rsidRPr="00E03193">
        <w:rPr>
          <w:rFonts w:eastAsia="Calibri"/>
          <w:bCs/>
          <w:sz w:val="24"/>
          <w:szCs w:val="24"/>
          <w:lang w:val="ro-RO"/>
        </w:rPr>
        <w:t>;</w:t>
      </w:r>
      <w:r w:rsidR="00395A18" w:rsidRPr="00E03193">
        <w:rPr>
          <w:rFonts w:eastAsia="Calibri"/>
          <w:bCs/>
          <w:sz w:val="24"/>
          <w:szCs w:val="24"/>
          <w:lang w:val="ro-RO"/>
        </w:rPr>
        <w:t xml:space="preserve"> </w:t>
      </w:r>
    </w:p>
    <w:p w14:paraId="37FEAFFB" w14:textId="28C0AB0C" w:rsidR="00A62CBF" w:rsidRPr="00E03193" w:rsidRDefault="001F0285" w:rsidP="003B59C6">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 xml:space="preserve">Punctul </w:t>
      </w:r>
      <w:r w:rsidR="00A62CBF" w:rsidRPr="00E03193">
        <w:rPr>
          <w:rFonts w:eastAsia="Calibri"/>
          <w:bCs/>
          <w:sz w:val="24"/>
          <w:szCs w:val="24"/>
          <w:lang w:val="ro-RO"/>
        </w:rPr>
        <w:t>251</w:t>
      </w:r>
      <w:r w:rsidRPr="00E03193">
        <w:rPr>
          <w:rFonts w:eastAsia="Calibri"/>
          <w:bCs/>
          <w:sz w:val="24"/>
          <w:szCs w:val="24"/>
          <w:lang w:val="ro-RO"/>
        </w:rPr>
        <w:t xml:space="preserve"> </w:t>
      </w:r>
      <w:r w:rsidR="001A43FF" w:rsidRPr="00E03193">
        <w:rPr>
          <w:rFonts w:eastAsia="Calibri"/>
          <w:bCs/>
          <w:sz w:val="24"/>
          <w:szCs w:val="24"/>
          <w:lang w:val="ro-RO"/>
        </w:rPr>
        <w:t>va avea următorul cuprins</w:t>
      </w:r>
      <w:r w:rsidRPr="00E03193">
        <w:rPr>
          <w:rFonts w:eastAsia="Calibri"/>
          <w:bCs/>
          <w:sz w:val="24"/>
          <w:szCs w:val="24"/>
          <w:lang w:val="ro-RO"/>
        </w:rPr>
        <w:t>:</w:t>
      </w:r>
    </w:p>
    <w:p w14:paraId="3E6F637B" w14:textId="77777777" w:rsidR="00A62CBF" w:rsidRPr="00E03193" w:rsidRDefault="00A62CBF" w:rsidP="00A62CBF">
      <w:pPr>
        <w:spacing w:before="120" w:after="120" w:line="276" w:lineRule="auto"/>
        <w:ind w:firstLine="0"/>
        <w:rPr>
          <w:rFonts w:eastAsia="Calibri"/>
          <w:bCs/>
          <w:sz w:val="24"/>
          <w:szCs w:val="24"/>
          <w:lang w:val="ro-RO"/>
        </w:rPr>
      </w:pPr>
      <w:r w:rsidRPr="00E03193">
        <w:rPr>
          <w:rFonts w:eastAsia="Calibri"/>
          <w:bCs/>
          <w:sz w:val="24"/>
          <w:szCs w:val="24"/>
          <w:lang w:val="ro-RO"/>
        </w:rPr>
        <w:t>„251. Activitatea pe piața energiei electrice de echilibrare se realizează în conformitate cu Regulamentul privind clauzele și condițiile pentru furnizorii de servicii de echilibrare elaborat de OST și aprobat de Agenție.”;</w:t>
      </w:r>
    </w:p>
    <w:p w14:paraId="07FEE582" w14:textId="4405BA11" w:rsidR="00781BB5" w:rsidRPr="00E03193" w:rsidRDefault="00A62CBF" w:rsidP="00781BB5">
      <w:pPr>
        <w:pStyle w:val="ListParagraph"/>
        <w:numPr>
          <w:ilvl w:val="1"/>
          <w:numId w:val="1"/>
        </w:numPr>
        <w:spacing w:before="120" w:after="120" w:line="276" w:lineRule="auto"/>
        <w:ind w:left="284" w:hanging="284"/>
        <w:rPr>
          <w:rFonts w:eastAsia="Calibri"/>
          <w:bCs/>
          <w:sz w:val="24"/>
          <w:szCs w:val="24"/>
          <w:lang w:val="ro-RO"/>
        </w:rPr>
      </w:pPr>
      <w:r w:rsidRPr="00E03193">
        <w:rPr>
          <w:rFonts w:eastAsia="Calibri"/>
          <w:bCs/>
          <w:sz w:val="24"/>
          <w:szCs w:val="24"/>
          <w:lang w:val="ro-RO"/>
        </w:rPr>
        <w:t xml:space="preserve">Punctele 252 – 256; 258 </w:t>
      </w:r>
      <w:r w:rsidR="00781BB5" w:rsidRPr="00E03193">
        <w:rPr>
          <w:rFonts w:eastAsia="Calibri"/>
          <w:bCs/>
          <w:sz w:val="24"/>
          <w:szCs w:val="24"/>
          <w:lang w:val="ro-RO"/>
        </w:rPr>
        <w:t>–</w:t>
      </w:r>
      <w:r w:rsidRPr="00E03193">
        <w:rPr>
          <w:rFonts w:eastAsia="Calibri"/>
          <w:bCs/>
          <w:sz w:val="24"/>
          <w:szCs w:val="24"/>
          <w:lang w:val="ro-RO"/>
        </w:rPr>
        <w:t xml:space="preserve"> 271</w:t>
      </w:r>
      <w:r w:rsidR="00781BB5" w:rsidRPr="00E03193">
        <w:rPr>
          <w:rFonts w:eastAsia="Calibri"/>
          <w:bCs/>
          <w:sz w:val="24"/>
          <w:szCs w:val="24"/>
          <w:lang w:val="ro-RO"/>
        </w:rPr>
        <w:t xml:space="preserve"> se </w:t>
      </w:r>
      <w:r w:rsidR="004B78F7">
        <w:rPr>
          <w:rFonts w:eastAsia="Calibri"/>
          <w:bCs/>
          <w:sz w:val="24"/>
          <w:szCs w:val="24"/>
          <w:lang w:val="ro-RO"/>
        </w:rPr>
        <w:t>exclud</w:t>
      </w:r>
      <w:r w:rsidR="00781BB5" w:rsidRPr="00E03193">
        <w:rPr>
          <w:rFonts w:eastAsia="Calibri"/>
          <w:bCs/>
          <w:sz w:val="24"/>
          <w:szCs w:val="24"/>
          <w:lang w:val="ro-RO"/>
        </w:rPr>
        <w:t>;</w:t>
      </w:r>
    </w:p>
    <w:p w14:paraId="07347D8E" w14:textId="67C6B0FC" w:rsidR="00781BB5" w:rsidRPr="00E03193" w:rsidRDefault="00781BB5" w:rsidP="00781BB5">
      <w:pPr>
        <w:pStyle w:val="ListParagraph"/>
        <w:numPr>
          <w:ilvl w:val="1"/>
          <w:numId w:val="1"/>
        </w:numPr>
        <w:spacing w:before="120" w:after="120" w:line="276" w:lineRule="auto"/>
        <w:ind w:left="284" w:hanging="307"/>
        <w:rPr>
          <w:rFonts w:eastAsia="Calibri"/>
          <w:bCs/>
          <w:sz w:val="24"/>
          <w:szCs w:val="24"/>
          <w:lang w:val="ro-RO"/>
        </w:rPr>
      </w:pPr>
      <w:r w:rsidRPr="00E03193">
        <w:rPr>
          <w:rFonts w:eastAsia="Calibri"/>
          <w:bCs/>
          <w:sz w:val="24"/>
          <w:szCs w:val="24"/>
          <w:lang w:val="ro-RO"/>
        </w:rPr>
        <w:t>Punctul 273 va avea următorul cuprins:</w:t>
      </w:r>
    </w:p>
    <w:p w14:paraId="2B919F7B" w14:textId="7206AF70" w:rsidR="00A87F53" w:rsidRPr="00E03193" w:rsidRDefault="00781BB5" w:rsidP="00781BB5">
      <w:pPr>
        <w:spacing w:before="120" w:after="120" w:line="276" w:lineRule="auto"/>
        <w:ind w:firstLine="0"/>
        <w:rPr>
          <w:rFonts w:eastAsia="Calibri"/>
          <w:bCs/>
          <w:sz w:val="24"/>
          <w:szCs w:val="24"/>
          <w:lang w:val="ro-RO"/>
        </w:rPr>
      </w:pPr>
      <w:r w:rsidRPr="00E03193">
        <w:rPr>
          <w:rFonts w:eastAsia="Calibri"/>
          <w:bCs/>
          <w:sz w:val="24"/>
          <w:szCs w:val="24"/>
          <w:lang w:val="ro-RO"/>
        </w:rPr>
        <w:t>„273. Ofertele de energie electrică de echilibrare pe PEE trebuie să se încadreze între valorile prețurilor minime și maxime. Limita minimă poate fi o valoare negativă și nu poate fi mai mare decât valoarea prețului maxim.”;</w:t>
      </w:r>
    </w:p>
    <w:p w14:paraId="2457ECAA" w14:textId="77777777" w:rsidR="00A87F53" w:rsidRDefault="00A87F53" w:rsidP="00735C54">
      <w:pPr>
        <w:pStyle w:val="ListParagraph"/>
        <w:numPr>
          <w:ilvl w:val="1"/>
          <w:numId w:val="1"/>
        </w:numPr>
        <w:tabs>
          <w:tab w:val="left" w:pos="426"/>
        </w:tabs>
        <w:spacing w:after="120" w:line="276" w:lineRule="auto"/>
        <w:ind w:left="283" w:hanging="306"/>
        <w:contextualSpacing w:val="0"/>
        <w:rPr>
          <w:rFonts w:eastAsia="Calibri"/>
          <w:bCs/>
          <w:sz w:val="24"/>
          <w:szCs w:val="24"/>
          <w:lang w:val="ro-RO"/>
        </w:rPr>
      </w:pPr>
      <w:r>
        <w:rPr>
          <w:rFonts w:eastAsia="Calibri"/>
          <w:bCs/>
          <w:sz w:val="24"/>
          <w:szCs w:val="24"/>
          <w:lang w:val="ro-RO"/>
        </w:rPr>
        <w:t>Se completează cu pct. 276</w:t>
      </w:r>
      <w:r w:rsidRPr="00735C54">
        <w:rPr>
          <w:rFonts w:eastAsia="Calibri"/>
          <w:bCs/>
          <w:sz w:val="24"/>
          <w:szCs w:val="24"/>
          <w:vertAlign w:val="superscript"/>
          <w:lang w:val="ro-RO"/>
        </w:rPr>
        <w:t>1</w:t>
      </w:r>
      <w:r>
        <w:rPr>
          <w:rFonts w:eastAsia="Calibri"/>
          <w:bCs/>
          <w:sz w:val="24"/>
          <w:szCs w:val="24"/>
          <w:lang w:val="ro-RO"/>
        </w:rPr>
        <w:t xml:space="preserve"> cu următorul conținut:</w:t>
      </w:r>
    </w:p>
    <w:p w14:paraId="54A9F601" w14:textId="5C1F0E3F" w:rsidR="00A87F53" w:rsidRDefault="00A87F53" w:rsidP="00735C54">
      <w:pPr>
        <w:pStyle w:val="ListParagraph"/>
        <w:tabs>
          <w:tab w:val="left" w:pos="426"/>
        </w:tabs>
        <w:spacing w:before="120" w:after="120" w:line="276" w:lineRule="auto"/>
        <w:ind w:left="284" w:firstLine="0"/>
        <w:contextualSpacing w:val="0"/>
        <w:rPr>
          <w:rFonts w:eastAsia="Calibri"/>
          <w:bCs/>
          <w:sz w:val="24"/>
          <w:szCs w:val="24"/>
          <w:lang w:val="ro-RO"/>
        </w:rPr>
      </w:pPr>
      <w:r>
        <w:rPr>
          <w:rFonts w:eastAsia="Calibri"/>
          <w:bCs/>
          <w:sz w:val="24"/>
          <w:szCs w:val="24"/>
          <w:lang w:val="ro-RO"/>
        </w:rPr>
        <w:lastRenderedPageBreak/>
        <w:t xml:space="preserve"> „276</w:t>
      </w:r>
      <w:r w:rsidRPr="00E5216E">
        <w:rPr>
          <w:rFonts w:eastAsia="Calibri"/>
          <w:bCs/>
          <w:sz w:val="24"/>
          <w:szCs w:val="24"/>
          <w:vertAlign w:val="superscript"/>
          <w:lang w:val="ro-RO"/>
        </w:rPr>
        <w:t>1</w:t>
      </w:r>
      <w:r>
        <w:rPr>
          <w:rFonts w:eastAsia="Calibri"/>
          <w:bCs/>
          <w:sz w:val="24"/>
          <w:szCs w:val="24"/>
          <w:lang w:val="ro-RO"/>
        </w:rPr>
        <w:t xml:space="preserve">. </w:t>
      </w:r>
      <w:r w:rsidRPr="00A87F53">
        <w:rPr>
          <w:rFonts w:eastAsia="Calibri"/>
          <w:bCs/>
          <w:sz w:val="24"/>
          <w:szCs w:val="24"/>
          <w:lang w:val="ro-RO"/>
        </w:rPr>
        <w:t>Înregistrarea unui participant la PEE se revocă din oficiu cu efect imediat, dacă licența respectivului participant la PEE a fost retrasă, caz în care Agenția anunță OST, precum și participantul la PEE în cauză, inclusiv în conformitate cu Regulamentul privind clauzele și condițiile pentru furnizorii de servicii de echilibrare elaborat de OST și aprobat de Agenție.</w:t>
      </w:r>
      <w:r>
        <w:rPr>
          <w:rFonts w:eastAsia="Calibri"/>
          <w:bCs/>
          <w:sz w:val="24"/>
          <w:szCs w:val="24"/>
          <w:lang w:val="ro-RO"/>
        </w:rPr>
        <w:t>”</w:t>
      </w:r>
    </w:p>
    <w:p w14:paraId="22C14E10" w14:textId="0585439E" w:rsidR="007D6466" w:rsidRPr="00E03193" w:rsidRDefault="007D6466" w:rsidP="00735C54">
      <w:pPr>
        <w:pStyle w:val="ListParagraph"/>
        <w:numPr>
          <w:ilvl w:val="1"/>
          <w:numId w:val="1"/>
        </w:numPr>
        <w:tabs>
          <w:tab w:val="left" w:pos="426"/>
        </w:tabs>
        <w:spacing w:before="120" w:after="120" w:line="276" w:lineRule="auto"/>
        <w:ind w:left="283" w:hanging="306"/>
        <w:contextualSpacing w:val="0"/>
        <w:rPr>
          <w:rFonts w:eastAsia="Calibri"/>
          <w:bCs/>
          <w:sz w:val="24"/>
          <w:szCs w:val="24"/>
          <w:lang w:val="ro-RO"/>
        </w:rPr>
      </w:pPr>
      <w:r w:rsidRPr="00E03193">
        <w:rPr>
          <w:rFonts w:eastAsia="Calibri"/>
          <w:bCs/>
          <w:sz w:val="24"/>
          <w:szCs w:val="24"/>
          <w:lang w:val="ro-RO"/>
        </w:rPr>
        <w:t>Secțiunile 2, 3, și 4 ale Capitolului II</w:t>
      </w:r>
      <w:r w:rsidR="00256597">
        <w:rPr>
          <w:rFonts w:eastAsia="Calibri"/>
          <w:bCs/>
          <w:sz w:val="24"/>
          <w:szCs w:val="24"/>
          <w:lang w:val="ro-RO"/>
        </w:rPr>
        <w:t xml:space="preserve"> din</w:t>
      </w:r>
      <w:r w:rsidRPr="00E03193">
        <w:rPr>
          <w:rFonts w:eastAsia="Calibri"/>
          <w:bCs/>
          <w:sz w:val="24"/>
          <w:szCs w:val="24"/>
          <w:lang w:val="ro-RO"/>
        </w:rPr>
        <w:t xml:space="preserve"> Titlul VI se abrogă;</w:t>
      </w:r>
    </w:p>
    <w:p w14:paraId="681329AD" w14:textId="2FDD41E4"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III</w:t>
      </w:r>
      <w:r w:rsidR="00256597">
        <w:rPr>
          <w:rFonts w:eastAsia="Calibri"/>
          <w:bCs/>
          <w:sz w:val="24"/>
          <w:szCs w:val="24"/>
          <w:lang w:val="ro-RO"/>
        </w:rPr>
        <w:t>,</w:t>
      </w:r>
      <w:r w:rsidRPr="00E03193">
        <w:rPr>
          <w:rFonts w:eastAsia="Calibri"/>
          <w:bCs/>
          <w:sz w:val="24"/>
          <w:szCs w:val="24"/>
          <w:lang w:val="ro-RO"/>
        </w:rPr>
        <w:t xml:space="preserve"> V și VI ale Titlului VI se abrogă;</w:t>
      </w:r>
    </w:p>
    <w:p w14:paraId="02A273F7" w14:textId="77777777" w:rsidR="00B517BE" w:rsidRPr="00E03193" w:rsidRDefault="00B517BE" w:rsidP="007D646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Punctul 410 va avea următorul cuprins:</w:t>
      </w:r>
    </w:p>
    <w:p w14:paraId="1EFB1C52" w14:textId="77777777" w:rsidR="00B517BE" w:rsidRPr="00E03193" w:rsidRDefault="00B517BE" w:rsidP="00B517BE">
      <w:pPr>
        <w:tabs>
          <w:tab w:val="left" w:pos="426"/>
        </w:tabs>
        <w:spacing w:before="120" w:after="120" w:line="276" w:lineRule="auto"/>
        <w:ind w:firstLine="0"/>
        <w:rPr>
          <w:rFonts w:eastAsia="Calibri"/>
          <w:bCs/>
          <w:sz w:val="24"/>
          <w:szCs w:val="24"/>
          <w:lang w:val="ro-RO"/>
        </w:rPr>
      </w:pPr>
      <w:r w:rsidRPr="00E03193">
        <w:rPr>
          <w:rFonts w:eastAsia="Calibri"/>
          <w:bCs/>
          <w:sz w:val="24"/>
          <w:szCs w:val="24"/>
          <w:lang w:val="ro-RO"/>
        </w:rPr>
        <w:t xml:space="preserve">„410. Piața serviciilor de sistem este o piață organizată de energie electrică prin intermediul căreia OST asigură achiziția unei cantități suficiente de servicii de sistem, în conformitate cu Regulamentul privind clauzele și condițiile pentru furnizorii de servicii de echilibrare elaborat de OST și aprobat de Agenție.”;  </w:t>
      </w:r>
    </w:p>
    <w:p w14:paraId="77631DE2" w14:textId="63A212D3" w:rsidR="00B517BE" w:rsidRPr="00E03193" w:rsidRDefault="00B517BE" w:rsidP="00B517BE">
      <w:pPr>
        <w:pStyle w:val="ListParagraph"/>
        <w:numPr>
          <w:ilvl w:val="1"/>
          <w:numId w:val="1"/>
        </w:numPr>
        <w:tabs>
          <w:tab w:val="left" w:pos="142"/>
          <w:tab w:val="left" w:pos="426"/>
        </w:tabs>
        <w:spacing w:before="120" w:after="120" w:line="276" w:lineRule="auto"/>
        <w:ind w:hanging="786"/>
        <w:rPr>
          <w:rFonts w:eastAsia="Calibri"/>
          <w:bCs/>
          <w:sz w:val="24"/>
          <w:szCs w:val="24"/>
          <w:lang w:val="ro-RO"/>
        </w:rPr>
      </w:pPr>
      <w:r w:rsidRPr="00E03193">
        <w:rPr>
          <w:rFonts w:eastAsia="Calibri"/>
          <w:bCs/>
          <w:sz w:val="24"/>
          <w:szCs w:val="24"/>
          <w:lang w:val="ro-RO"/>
        </w:rPr>
        <w:t>Punctele 410</w:t>
      </w:r>
      <w:r w:rsidRPr="00E03193">
        <w:rPr>
          <w:rFonts w:eastAsia="Calibri"/>
          <w:bCs/>
          <w:sz w:val="24"/>
          <w:szCs w:val="24"/>
          <w:vertAlign w:val="superscript"/>
          <w:lang w:val="ro-RO"/>
        </w:rPr>
        <w:t>1</w:t>
      </w:r>
      <w:r w:rsidRPr="00E03193">
        <w:rPr>
          <w:rFonts w:eastAsia="Calibri"/>
          <w:bCs/>
          <w:sz w:val="24"/>
          <w:szCs w:val="24"/>
          <w:lang w:val="ro-RO"/>
        </w:rPr>
        <w:t xml:space="preserve"> – 415 </w:t>
      </w:r>
      <w:r w:rsidR="00AE7669" w:rsidRPr="00E03193">
        <w:rPr>
          <w:rFonts w:eastAsia="Calibri"/>
          <w:bCs/>
          <w:sz w:val="24"/>
          <w:szCs w:val="24"/>
          <w:lang w:val="ro-RO"/>
        </w:rPr>
        <w:t xml:space="preserve">și 422 – 423 se </w:t>
      </w:r>
      <w:r w:rsidR="0014360B">
        <w:rPr>
          <w:rFonts w:eastAsia="Calibri"/>
          <w:bCs/>
          <w:sz w:val="24"/>
          <w:szCs w:val="24"/>
          <w:lang w:val="ro-RO"/>
        </w:rPr>
        <w:t>exclud</w:t>
      </w:r>
      <w:r w:rsidRPr="00E03193">
        <w:rPr>
          <w:rFonts w:eastAsia="Calibri"/>
          <w:bCs/>
          <w:sz w:val="24"/>
          <w:szCs w:val="24"/>
          <w:lang w:val="ro-RO"/>
        </w:rPr>
        <w:t>;</w:t>
      </w:r>
    </w:p>
    <w:p w14:paraId="646C79EF" w14:textId="1E50023C"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Secțiunile 1 și 2 ale Capitolului II Titlul VII se abrogă;</w:t>
      </w:r>
    </w:p>
    <w:p w14:paraId="2DE2B7BB" w14:textId="77777777" w:rsidR="0099714A" w:rsidRDefault="0099714A" w:rsidP="006006C8">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451 se expune în redacția următoare: </w:t>
      </w:r>
    </w:p>
    <w:p w14:paraId="279DAF76" w14:textId="104EDB84" w:rsidR="00A87F53" w:rsidRPr="0043224D" w:rsidRDefault="0099714A" w:rsidP="0043224D">
      <w:pPr>
        <w:tabs>
          <w:tab w:val="left" w:pos="426"/>
        </w:tabs>
        <w:spacing w:before="120" w:after="120" w:line="276" w:lineRule="auto"/>
        <w:ind w:firstLine="0"/>
        <w:rPr>
          <w:rFonts w:eastAsia="Calibri"/>
          <w:bCs/>
          <w:sz w:val="24"/>
          <w:szCs w:val="24"/>
          <w:lang w:val="ro-RO"/>
        </w:rPr>
      </w:pPr>
      <w:r w:rsidRPr="0043224D">
        <w:rPr>
          <w:rFonts w:eastAsia="Calibri"/>
          <w:bCs/>
          <w:sz w:val="24"/>
          <w:szCs w:val="24"/>
          <w:lang w:val="ro-RO"/>
        </w:rPr>
        <w:t>„451. Părțile responsabile pentru echilibrare activează pe piața energiei electrice în baza Regulamentului privind clauzele și condițiile pentru părțile responsabile pentru echilibrare, elaborat de OST și aprobat de Agenție.”</w:t>
      </w:r>
    </w:p>
    <w:p w14:paraId="312CC200" w14:textId="157A8570" w:rsidR="00A87F53" w:rsidRDefault="00A87F53"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Se completează </w:t>
      </w:r>
      <w:r w:rsidR="000848D5">
        <w:rPr>
          <w:rFonts w:eastAsia="Calibri"/>
          <w:bCs/>
          <w:sz w:val="24"/>
          <w:szCs w:val="24"/>
          <w:lang w:val="ro-RO"/>
        </w:rPr>
        <w:t>cu punctele 451</w:t>
      </w:r>
      <w:r w:rsidR="000848D5" w:rsidRPr="00735C54">
        <w:rPr>
          <w:rFonts w:eastAsia="Calibri"/>
          <w:bCs/>
          <w:sz w:val="24"/>
          <w:szCs w:val="24"/>
          <w:vertAlign w:val="superscript"/>
          <w:lang w:val="ro-RO"/>
        </w:rPr>
        <w:t>1</w:t>
      </w:r>
      <w:r w:rsidR="000848D5">
        <w:rPr>
          <w:rFonts w:eastAsia="Calibri"/>
          <w:bCs/>
          <w:sz w:val="24"/>
          <w:szCs w:val="24"/>
          <w:lang w:val="ro-RO"/>
        </w:rPr>
        <w:t xml:space="preserve"> – 451</w:t>
      </w:r>
      <w:r w:rsidR="000C46F2">
        <w:rPr>
          <w:rFonts w:eastAsia="Calibri"/>
          <w:bCs/>
          <w:sz w:val="24"/>
          <w:szCs w:val="24"/>
          <w:vertAlign w:val="superscript"/>
          <w:lang w:val="ro-RO"/>
        </w:rPr>
        <w:t>7</w:t>
      </w:r>
      <w:r w:rsidR="000848D5">
        <w:rPr>
          <w:rFonts w:eastAsia="Calibri"/>
          <w:bCs/>
          <w:sz w:val="24"/>
          <w:szCs w:val="24"/>
          <w:lang w:val="ro-RO"/>
        </w:rPr>
        <w:t xml:space="preserve"> cu următorul conținut: </w:t>
      </w:r>
    </w:p>
    <w:p w14:paraId="6A37C2E0" w14:textId="00DDDBD5"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0848D5">
        <w:rPr>
          <w:rFonts w:eastAsia="Calibri"/>
          <w:bCs/>
          <w:sz w:val="24"/>
          <w:szCs w:val="24"/>
          <w:lang w:val="ro-RO"/>
        </w:rPr>
        <w:t>451</w:t>
      </w:r>
      <w:r w:rsidRPr="00735C54">
        <w:rPr>
          <w:rFonts w:eastAsia="Calibri"/>
          <w:bCs/>
          <w:sz w:val="24"/>
          <w:szCs w:val="24"/>
          <w:vertAlign w:val="superscript"/>
          <w:lang w:val="ro-RO"/>
        </w:rPr>
        <w:t>1</w:t>
      </w:r>
      <w:r w:rsidRPr="000848D5">
        <w:rPr>
          <w:rFonts w:eastAsia="Calibri"/>
          <w:bCs/>
          <w:sz w:val="24"/>
          <w:szCs w:val="24"/>
          <w:lang w:val="ro-RO"/>
        </w:rPr>
        <w:t>. Toți participanții la piața angro de energie electrică sunt obligați să fie înregistrați la OST în calitate de PRE și să transmită notificări fizice conform prevederilor Titlului V.</w:t>
      </w:r>
    </w:p>
    <w:p w14:paraId="0413E3C6" w14:textId="657ADB48"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2</w:t>
      </w:r>
      <w:r w:rsidRPr="000848D5">
        <w:rPr>
          <w:rFonts w:eastAsia="Calibri"/>
          <w:bCs/>
          <w:sz w:val="24"/>
          <w:szCs w:val="24"/>
          <w:lang w:val="ro-RO"/>
        </w:rPr>
        <w:t>.</w:t>
      </w:r>
      <w:r>
        <w:rPr>
          <w:rFonts w:eastAsia="Calibri"/>
          <w:bCs/>
          <w:sz w:val="24"/>
          <w:szCs w:val="24"/>
          <w:lang w:val="ro-RO"/>
        </w:rPr>
        <w:t xml:space="preserve"> </w:t>
      </w:r>
      <w:r w:rsidRPr="000848D5">
        <w:rPr>
          <w:rFonts w:eastAsia="Calibri"/>
          <w:bCs/>
          <w:sz w:val="24"/>
          <w:szCs w:val="24"/>
          <w:lang w:val="ro-RO"/>
        </w:rPr>
        <w:t>Numai participanții la piața angro de energie electrică care au semnate contracte de echilibrare cu OST au dreptul să se angajeze în tranzacții pe piața angro de energie electrică.</w:t>
      </w:r>
    </w:p>
    <w:p w14:paraId="353B4AF9" w14:textId="6BD065FA" w:rsidR="000848D5" w:rsidRDefault="000848D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3</w:t>
      </w:r>
      <w:r>
        <w:rPr>
          <w:rFonts w:eastAsia="Calibri"/>
          <w:bCs/>
          <w:sz w:val="24"/>
          <w:szCs w:val="24"/>
          <w:lang w:val="ro-RO"/>
        </w:rPr>
        <w:t xml:space="preserve">. </w:t>
      </w:r>
      <w:r w:rsidRPr="000848D5">
        <w:rPr>
          <w:rFonts w:eastAsia="Calibri"/>
          <w:bCs/>
          <w:sz w:val="24"/>
          <w:szCs w:val="24"/>
          <w:lang w:val="ro-RO"/>
        </w:rPr>
        <w:t>În cadrul procesului de înregistrare în calitate de PRE, gestionarii instalațiilor de stocare, inclusiv din cadrul centralelor electrice, furnizorii, agregatorii, traderii, OSD</w:t>
      </w:r>
      <w:r>
        <w:rPr>
          <w:rFonts w:eastAsia="Calibri"/>
          <w:bCs/>
          <w:sz w:val="24"/>
          <w:szCs w:val="24"/>
          <w:lang w:val="ro-RO"/>
        </w:rPr>
        <w:t>-urile</w:t>
      </w:r>
      <w:r w:rsidRPr="000848D5">
        <w:rPr>
          <w:rFonts w:eastAsia="Calibri"/>
          <w:bCs/>
          <w:sz w:val="24"/>
          <w:szCs w:val="24"/>
          <w:lang w:val="ro-RO"/>
        </w:rPr>
        <w:t xml:space="preserve"> urmează se încheie contractul de prestare a serviciului de transport</w:t>
      </w:r>
      <w:r w:rsidR="001E7829">
        <w:rPr>
          <w:rFonts w:eastAsia="Calibri"/>
          <w:bCs/>
          <w:sz w:val="24"/>
          <w:szCs w:val="24"/>
          <w:lang w:val="ro-RO"/>
        </w:rPr>
        <w:t xml:space="preserve"> al energiei electrice</w:t>
      </w:r>
      <w:r w:rsidRPr="000848D5">
        <w:rPr>
          <w:rFonts w:eastAsia="Calibri"/>
          <w:bCs/>
          <w:sz w:val="24"/>
          <w:szCs w:val="24"/>
          <w:lang w:val="ro-RO"/>
        </w:rPr>
        <w:t>.</w:t>
      </w:r>
    </w:p>
    <w:p w14:paraId="34E51C09" w14:textId="56372D1B" w:rsidR="001E7829" w:rsidRDefault="001E7829"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4</w:t>
      </w:r>
      <w:r>
        <w:rPr>
          <w:rFonts w:eastAsia="Calibri"/>
          <w:bCs/>
          <w:sz w:val="24"/>
          <w:szCs w:val="24"/>
          <w:lang w:val="ro-RO"/>
        </w:rPr>
        <w:t xml:space="preserve">.  </w:t>
      </w:r>
      <w:r w:rsidRPr="001E7829">
        <w:rPr>
          <w:rFonts w:eastAsia="Calibri"/>
          <w:bCs/>
          <w:sz w:val="24"/>
          <w:szCs w:val="24"/>
          <w:lang w:val="ro-RO"/>
        </w:rPr>
        <w:t>La etapa de înregistrare în calitate de PRE, solicitantul va prezenta documente confirmative privind dreptul de proprietate asupra centralelor electrice, dreptul de gestionare a instalațiilor de stocare și licențe</w:t>
      </w:r>
      <w:r>
        <w:rPr>
          <w:rFonts w:eastAsia="Calibri"/>
          <w:bCs/>
          <w:sz w:val="24"/>
          <w:szCs w:val="24"/>
          <w:lang w:val="ro-RO"/>
        </w:rPr>
        <w:t>le</w:t>
      </w:r>
      <w:r w:rsidRPr="001E7829">
        <w:rPr>
          <w:rFonts w:eastAsia="Calibri"/>
          <w:bCs/>
          <w:sz w:val="24"/>
          <w:szCs w:val="24"/>
          <w:lang w:val="ro-RO"/>
        </w:rPr>
        <w:t xml:space="preserve"> eliberate de Agenție, corespunzătoare genului de activitate.</w:t>
      </w:r>
    </w:p>
    <w:p w14:paraId="1DCA453E" w14:textId="1C7B71A0" w:rsidR="007551B8" w:rsidRDefault="007551B8"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5</w:t>
      </w:r>
      <w:r>
        <w:rPr>
          <w:rFonts w:eastAsia="Calibri"/>
          <w:bCs/>
          <w:sz w:val="24"/>
          <w:szCs w:val="24"/>
          <w:lang w:val="ro-RO"/>
        </w:rPr>
        <w:t xml:space="preserve">.  </w:t>
      </w:r>
      <w:r w:rsidRPr="007551B8">
        <w:rPr>
          <w:rFonts w:eastAsia="Calibri"/>
          <w:bCs/>
          <w:sz w:val="24"/>
          <w:szCs w:val="24"/>
          <w:lang w:val="ro-RO"/>
        </w:rPr>
        <w:t>OST revocă înregistrarea unei PRE, în cazurile prevăzute în Regulamentul privind clauzele și condițiile pentru părțile responsabile</w:t>
      </w:r>
      <w:r w:rsidR="00AB4895">
        <w:rPr>
          <w:rFonts w:eastAsia="Calibri"/>
          <w:bCs/>
          <w:sz w:val="24"/>
          <w:szCs w:val="24"/>
          <w:lang w:val="ro-RO"/>
        </w:rPr>
        <w:t xml:space="preserve"> pentru echilibrare, inclusiv</w:t>
      </w:r>
      <w:r w:rsidRPr="007551B8">
        <w:rPr>
          <w:rFonts w:eastAsia="Calibri"/>
          <w:bCs/>
          <w:sz w:val="24"/>
          <w:szCs w:val="24"/>
          <w:lang w:val="ro-RO"/>
        </w:rPr>
        <w:t xml:space="preserve"> în cazul în care PRE nu își îndeplinește obligațiile de plată în raport cu OST.</w:t>
      </w:r>
    </w:p>
    <w:p w14:paraId="46C2C4B7" w14:textId="78FB73E6" w:rsidR="00AB4895" w:rsidRDefault="00AB489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6</w:t>
      </w:r>
      <w:r>
        <w:rPr>
          <w:rFonts w:eastAsia="Calibri"/>
          <w:bCs/>
          <w:sz w:val="24"/>
          <w:szCs w:val="24"/>
          <w:lang w:val="ro-RO"/>
        </w:rPr>
        <w:t xml:space="preserve">.  </w:t>
      </w:r>
      <w:r w:rsidRPr="00AB4895">
        <w:rPr>
          <w:rFonts w:eastAsia="Calibri"/>
          <w:bCs/>
          <w:sz w:val="24"/>
          <w:szCs w:val="24"/>
          <w:lang w:val="ro-RO"/>
        </w:rPr>
        <w:t>Transferul responsabilității de echilib</w:t>
      </w:r>
      <w:r>
        <w:rPr>
          <w:rFonts w:eastAsia="Calibri"/>
          <w:bCs/>
          <w:sz w:val="24"/>
          <w:szCs w:val="24"/>
          <w:lang w:val="ro-RO"/>
        </w:rPr>
        <w:t>rare se realizează</w:t>
      </w:r>
      <w:r w:rsidRPr="00AB4895">
        <w:rPr>
          <w:rFonts w:eastAsia="Calibri"/>
          <w:bCs/>
          <w:sz w:val="24"/>
          <w:szCs w:val="24"/>
          <w:lang w:val="ro-RO"/>
        </w:rPr>
        <w:t xml:space="preserve"> în conformitate cu Regulamentul privind clauzele și condițiile pentru părțile responsabile pentru echilibrare și în condițiile îndeplinirii obligațiilor de plată în raport cu OST de către PRE</w:t>
      </w:r>
      <w:r>
        <w:rPr>
          <w:rFonts w:eastAsia="Calibri"/>
          <w:bCs/>
          <w:sz w:val="24"/>
          <w:szCs w:val="24"/>
          <w:lang w:val="ro-RO"/>
        </w:rPr>
        <w:t>-urile</w:t>
      </w:r>
      <w:r w:rsidRPr="00AB4895">
        <w:rPr>
          <w:rFonts w:eastAsia="Calibri"/>
          <w:bCs/>
          <w:sz w:val="24"/>
          <w:szCs w:val="24"/>
          <w:lang w:val="ro-RO"/>
        </w:rPr>
        <w:t xml:space="preserve"> implicate.</w:t>
      </w:r>
    </w:p>
    <w:p w14:paraId="619A2FD8" w14:textId="603315D5" w:rsidR="000C46F2" w:rsidRPr="000C46F2" w:rsidRDefault="000C46F2"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  </w:t>
      </w:r>
      <w:r w:rsidRPr="000848D5">
        <w:rPr>
          <w:rFonts w:eastAsia="Calibri"/>
          <w:bCs/>
          <w:sz w:val="24"/>
          <w:szCs w:val="24"/>
          <w:lang w:val="ro-RO"/>
        </w:rPr>
        <w:t>451</w:t>
      </w:r>
      <w:r>
        <w:rPr>
          <w:rFonts w:eastAsia="Calibri"/>
          <w:bCs/>
          <w:sz w:val="24"/>
          <w:szCs w:val="24"/>
          <w:vertAlign w:val="superscript"/>
          <w:lang w:val="ro-RO"/>
        </w:rPr>
        <w:t>7</w:t>
      </w:r>
      <w:r>
        <w:rPr>
          <w:rFonts w:eastAsia="Calibri"/>
          <w:bCs/>
          <w:sz w:val="24"/>
          <w:szCs w:val="24"/>
          <w:lang w:val="ro-RO"/>
        </w:rPr>
        <w:t>.</w:t>
      </w:r>
      <w:r w:rsidR="006C0669">
        <w:rPr>
          <w:rFonts w:eastAsia="Calibri"/>
          <w:bCs/>
          <w:sz w:val="24"/>
          <w:szCs w:val="24"/>
          <w:lang w:val="ro-RO"/>
        </w:rPr>
        <w:t xml:space="preserve">  </w:t>
      </w:r>
      <w:r w:rsidRPr="000C46F2">
        <w:rPr>
          <w:rFonts w:eastAsia="Calibri"/>
          <w:bCs/>
          <w:sz w:val="24"/>
          <w:szCs w:val="24"/>
          <w:lang w:val="ro-RO"/>
        </w:rPr>
        <w:t>FCEE redistribuie costurile sumare corespunzătoare dezechilibrelor provocate de centralele electrice eligibile și centralele electrice de termoficare urbane proporțional dezechilibrelor individuale a fiecărei părți responsabile pentru echilibrare din cadrul grupului de echilibrare.”</w:t>
      </w:r>
    </w:p>
    <w:p w14:paraId="7E728100" w14:textId="25058C38"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Punctele 45</w:t>
      </w:r>
      <w:r w:rsidR="0099714A">
        <w:rPr>
          <w:rFonts w:eastAsia="Calibri"/>
          <w:bCs/>
          <w:sz w:val="24"/>
          <w:szCs w:val="24"/>
          <w:lang w:val="ro-RO"/>
        </w:rPr>
        <w:t>2</w:t>
      </w:r>
      <w:r w:rsidRPr="00E03193">
        <w:rPr>
          <w:rFonts w:eastAsia="Calibri"/>
          <w:bCs/>
          <w:sz w:val="24"/>
          <w:szCs w:val="24"/>
          <w:lang w:val="ro-RO"/>
        </w:rPr>
        <w:t xml:space="preserve"> – 455 se </w:t>
      </w:r>
      <w:r w:rsidR="0014360B">
        <w:rPr>
          <w:rFonts w:eastAsia="Calibri"/>
          <w:bCs/>
          <w:sz w:val="24"/>
          <w:szCs w:val="24"/>
          <w:lang w:val="ro-RO"/>
        </w:rPr>
        <w:t>exclud</w:t>
      </w:r>
      <w:r w:rsidRPr="00E03193">
        <w:rPr>
          <w:rFonts w:eastAsia="Calibri"/>
          <w:bCs/>
          <w:sz w:val="24"/>
          <w:szCs w:val="24"/>
          <w:lang w:val="ro-RO"/>
        </w:rPr>
        <w:t>;</w:t>
      </w:r>
    </w:p>
    <w:p w14:paraId="05BB219C" w14:textId="2A116FB4" w:rsidR="00AE7669" w:rsidRPr="00E03193" w:rsidRDefault="00AE7669" w:rsidP="00AE7669">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Capitolele II și III ale Titlului VIII se abrogă;</w:t>
      </w:r>
    </w:p>
    <w:p w14:paraId="25EC4AF7" w14:textId="1336F531" w:rsidR="00133BC6" w:rsidRDefault="00133BC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Titlurile IX și X se abrogă;</w:t>
      </w:r>
    </w:p>
    <w:p w14:paraId="3E6905E8" w14:textId="05A31099" w:rsidR="00CC2559" w:rsidRDefault="001F7935"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Punctele 616 –</w:t>
      </w:r>
      <w:r w:rsidR="00575CEC">
        <w:rPr>
          <w:rFonts w:eastAsia="Calibri"/>
          <w:bCs/>
          <w:sz w:val="24"/>
          <w:szCs w:val="24"/>
          <w:lang w:val="ro-RO"/>
        </w:rPr>
        <w:t xml:space="preserve"> 617</w:t>
      </w:r>
      <w:r>
        <w:rPr>
          <w:rFonts w:eastAsia="Calibri"/>
          <w:bCs/>
          <w:sz w:val="24"/>
          <w:szCs w:val="24"/>
          <w:lang w:val="ro-RO"/>
        </w:rPr>
        <w:t xml:space="preserve"> se expun în redacția următoare: </w:t>
      </w:r>
    </w:p>
    <w:p w14:paraId="15AB26A3" w14:textId="77777777" w:rsidR="001F7935" w:rsidRDefault="001F793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lastRenderedPageBreak/>
        <w:t>„</w:t>
      </w:r>
      <w:r w:rsidRPr="001F7935">
        <w:rPr>
          <w:rFonts w:eastAsia="Calibri"/>
          <w:bCs/>
          <w:sz w:val="24"/>
          <w:szCs w:val="24"/>
          <w:lang w:val="ro-RO"/>
        </w:rPr>
        <w:t>616. Producătorii eligibili mari sunt obligați să comercializeze pe piaţa angro energia electrică din surse regenerabile din momentul încheierii contractelor pentru diferențe la îndeplinirea condițiilor prevăzute la art. 38</w:t>
      </w:r>
      <w:r w:rsidRPr="00735C54">
        <w:rPr>
          <w:rFonts w:eastAsia="Calibri"/>
          <w:bCs/>
          <w:sz w:val="24"/>
          <w:szCs w:val="24"/>
          <w:vertAlign w:val="superscript"/>
          <w:lang w:val="ro-RO"/>
        </w:rPr>
        <w:t>1</w:t>
      </w:r>
      <w:r w:rsidRPr="001F7935">
        <w:rPr>
          <w:rFonts w:eastAsia="Calibri"/>
          <w:bCs/>
          <w:sz w:val="24"/>
          <w:szCs w:val="24"/>
          <w:lang w:val="ro-RO"/>
        </w:rPr>
        <w:t xml:space="preserve"> alin. (1) a Legii nr. 10/2016 privind promovarea utilizării energiei din surse regenerabile.</w:t>
      </w:r>
    </w:p>
    <w:p w14:paraId="21A736BC" w14:textId="40C8930D" w:rsidR="001F7935" w:rsidRPr="00735C54" w:rsidRDefault="001F7935" w:rsidP="00735C54">
      <w:pPr>
        <w:pStyle w:val="ListParagraph"/>
        <w:tabs>
          <w:tab w:val="left" w:pos="426"/>
        </w:tabs>
        <w:spacing w:before="120" w:after="120" w:line="276" w:lineRule="auto"/>
        <w:ind w:left="284" w:firstLine="0"/>
        <w:rPr>
          <w:rFonts w:eastAsia="Calibri"/>
          <w:bCs/>
          <w:sz w:val="24"/>
          <w:szCs w:val="24"/>
          <w:lang w:val="ro-RO"/>
        </w:rPr>
      </w:pPr>
      <w:r w:rsidRPr="001F7935">
        <w:rPr>
          <w:rFonts w:eastAsia="Calibri"/>
          <w:bCs/>
          <w:sz w:val="24"/>
          <w:szCs w:val="24"/>
          <w:lang w:val="ro-RO"/>
        </w:rPr>
        <w:t>617. Producătorii eligibili mici sunt exonerați de obligația de a comercializa individual energia electrică produsă pe pieţele angro ale energiei electrice. La întrunirea condiţiilor menționate la art. 38</w:t>
      </w:r>
      <w:r w:rsidRPr="00735C54">
        <w:rPr>
          <w:rFonts w:eastAsia="Calibri"/>
          <w:bCs/>
          <w:sz w:val="24"/>
          <w:szCs w:val="24"/>
          <w:vertAlign w:val="superscript"/>
          <w:lang w:val="ro-RO"/>
        </w:rPr>
        <w:t>1</w:t>
      </w:r>
      <w:r w:rsidRPr="001F7935">
        <w:rPr>
          <w:rFonts w:eastAsia="Calibri"/>
          <w:bCs/>
          <w:sz w:val="24"/>
          <w:szCs w:val="24"/>
          <w:lang w:val="ro-RO"/>
        </w:rPr>
        <w:t xml:space="preserve"> alin. (1) a Legii nr. 10/2016 privind promovarea utilizării energiei din surse regenerabile, furnizorul central de energie electrică achiziţionează de la producătorii eligibili mici energia electrică generată de aceștia, în baza contractelor reglementate pentru achiziționarea energiei electrice, şi o vinde pe piaţa angro a energiei electrice.</w:t>
      </w:r>
      <w:r w:rsidRPr="00735C54">
        <w:rPr>
          <w:rFonts w:eastAsia="Calibri"/>
          <w:bCs/>
          <w:sz w:val="24"/>
          <w:szCs w:val="24"/>
          <w:lang w:val="ro-RO"/>
        </w:rPr>
        <w:t>”</w:t>
      </w:r>
    </w:p>
    <w:p w14:paraId="526F558F" w14:textId="77777777" w:rsidR="00286685" w:rsidRDefault="00286685"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644 se expune în redacția următoare: </w:t>
      </w:r>
    </w:p>
    <w:p w14:paraId="3E8E6EC6" w14:textId="6A344321" w:rsidR="00286685" w:rsidRDefault="0028668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„644. </w:t>
      </w:r>
      <w:r w:rsidR="008579B2" w:rsidRPr="008579B2">
        <w:rPr>
          <w:rFonts w:eastAsia="Calibri"/>
          <w:bCs/>
          <w:sz w:val="24"/>
          <w:szCs w:val="24"/>
          <w:lang w:val="ro-RO"/>
        </w:rPr>
        <w:t xml:space="preserve">OST include în contractul de participare la PEE și în contractul de echilibrare prevederi cu referire la determinarea necesarului, tipurile de garanții solicitate și termenul de valabilitate al acestora, realizarea și verificarea depunerii garanțiilor și suplimentării acestora, dacă este cazul, precum și utilizarea disponibilului rămas din </w:t>
      </w:r>
      <w:r w:rsidR="008579B2">
        <w:rPr>
          <w:rFonts w:eastAsia="Calibri"/>
          <w:bCs/>
          <w:sz w:val="24"/>
          <w:szCs w:val="24"/>
          <w:lang w:val="ro-RO"/>
        </w:rPr>
        <w:t>garanția depusă de participanți.</w:t>
      </w:r>
      <w:r>
        <w:rPr>
          <w:rFonts w:eastAsia="Calibri"/>
          <w:bCs/>
          <w:sz w:val="24"/>
          <w:szCs w:val="24"/>
          <w:lang w:val="ro-RO"/>
        </w:rPr>
        <w:t>”</w:t>
      </w:r>
      <w:r w:rsidR="00781BB5" w:rsidRPr="00E03193">
        <w:rPr>
          <w:rFonts w:eastAsia="Calibri"/>
          <w:bCs/>
          <w:sz w:val="24"/>
          <w:szCs w:val="24"/>
          <w:lang w:val="ro-RO"/>
        </w:rPr>
        <w:t xml:space="preserve"> </w:t>
      </w:r>
    </w:p>
    <w:p w14:paraId="762C867B" w14:textId="77777777" w:rsidR="00613722" w:rsidRDefault="00613722" w:rsidP="0014360B">
      <w:pPr>
        <w:pStyle w:val="ListParagraph"/>
        <w:numPr>
          <w:ilvl w:val="1"/>
          <w:numId w:val="1"/>
        </w:numPr>
        <w:spacing w:before="120" w:after="120" w:line="276" w:lineRule="auto"/>
        <w:ind w:left="426" w:hanging="426"/>
        <w:rPr>
          <w:rFonts w:eastAsia="Calibri"/>
          <w:bCs/>
          <w:sz w:val="24"/>
          <w:szCs w:val="24"/>
          <w:lang w:val="ro-RO"/>
        </w:rPr>
      </w:pPr>
      <w:r>
        <w:rPr>
          <w:rFonts w:eastAsia="Calibri"/>
          <w:bCs/>
          <w:sz w:val="24"/>
          <w:szCs w:val="24"/>
          <w:lang w:val="ro-RO"/>
        </w:rPr>
        <w:t xml:space="preserve">La punctul 653 penultima propoziție se expune în redacția următoare: </w:t>
      </w:r>
    </w:p>
    <w:p w14:paraId="38B7CA57" w14:textId="4C0A8550" w:rsidR="00613722" w:rsidRPr="00735C54" w:rsidRDefault="00613722" w:rsidP="0014360B">
      <w:pPr>
        <w:pStyle w:val="ListParagraph"/>
        <w:tabs>
          <w:tab w:val="left" w:pos="851"/>
        </w:tabs>
        <w:spacing w:before="120" w:after="120" w:line="276" w:lineRule="auto"/>
        <w:ind w:left="284" w:firstLine="0"/>
        <w:rPr>
          <w:rFonts w:eastAsia="Calibri"/>
          <w:bCs/>
          <w:sz w:val="24"/>
          <w:szCs w:val="24"/>
          <w:lang w:val="ro-RO"/>
        </w:rPr>
      </w:pPr>
      <w:r w:rsidRPr="00735C54">
        <w:rPr>
          <w:rFonts w:eastAsia="Calibri"/>
          <w:bCs/>
          <w:sz w:val="24"/>
          <w:szCs w:val="24"/>
          <w:lang w:val="ro-RO"/>
        </w:rPr>
        <w:t>„Pentru obligațiile nete de plată totale înregistrate de un participant la PZU, la nivelul zilei de livrare, OPEE transmite la Banca cont central ordinele de plată de debitare directă în ziua de tranzacționare, dacă aceasta este o zi bancară lucrătoare, sau în prima zi bancară lucrătoare după ziua de tranzacționare, în celelalte cazuri; termenul maximal de executare și de creditare a contului central al PZU este prima zi bancară lucrătoare după ziua bancară lucrătoare în care au fost transmise ordinele de plată de debitare directă; termenul maximal de executare nu restricționează Banca cont central de a executa ordinele de plată de debitare directă în ziua bancară lucrătoare în care acestea au fost primite. Pentru drepturile nete de încasat totale înregistrate de un participant la PZU, la nivelul zilei de livrare, OPEE transmite la Banca cont central ordinele de plată de transfer credit, în ziua bancară lucrătoare în care au fost încasate în contul central PZU ordinele de plată de debitare directă.”</w:t>
      </w:r>
      <w:r w:rsidR="00DC1DA9">
        <w:rPr>
          <w:rFonts w:eastAsia="Calibri"/>
          <w:bCs/>
          <w:sz w:val="24"/>
          <w:szCs w:val="24"/>
          <w:lang w:val="ro-RO"/>
        </w:rPr>
        <w:t>;</w:t>
      </w:r>
    </w:p>
    <w:p w14:paraId="0C0A0A80" w14:textId="0487EC1E" w:rsidR="00613722" w:rsidRDefault="00613722"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La punctul 654 subpunctul 5) se expune în redacția următoare: </w:t>
      </w:r>
    </w:p>
    <w:p w14:paraId="6D79FE1B" w14:textId="09F0D0E6" w:rsidR="00613722" w:rsidRDefault="00613722"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„5) </w:t>
      </w:r>
      <w:r w:rsidRPr="00613722">
        <w:rPr>
          <w:rFonts w:eastAsia="Calibri"/>
          <w:bCs/>
          <w:sz w:val="24"/>
          <w:szCs w:val="24"/>
          <w:lang w:val="ro-RO"/>
        </w:rPr>
        <w:t>la nivel de zi de livrare, valorile obligațiilor nete de plată totale/drepturilor nete de încasat totale ale participantului la PI, determinate ca sumă algebrică a valorii totale a tranzacțiilor de cumpărare a energiei electrice și a valorii totale a tranzacțiilor de vânzare a energiei electrice; Pentru obligațiile nete de plată totale înregistrate de un participant la PI, la nivelul zilei de livrare, OPEE transmite la Banca cont central ordinele de plată de debitare directă în prima zi bancară lucrătoare care urmează zilei de livrare; termenul maximal de executare și de creditare a contului central al PI este prima zi bancară lucrătoare după ziua bancară lucrătoare în care au fost transmise ordinele de plată de debitare directă; termenul maximal de executare nu restricționează Banca cont central de a executa ordinele de plată de debitare directă în ziua bancară lucrătoare în care acestea au fost primite. În cazul în care banca de decontare a participantului la PI a comunicat refuzul la plată a ordinului de plată de debitare directă, OPEE solicită executarea garanției financiare de acesta. Pentru drepturile nete de încasat totale înregistrate de un participant la PI, la nivelul zilei de livrare, OPEE transmite la Banca cont central ordinele de plată de transfer credit, în ziua bancară lucrătoare în care au fost încasate în contul central PZU ordinele de plată de debitare directă.</w:t>
      </w:r>
      <w:r>
        <w:rPr>
          <w:rFonts w:eastAsia="Calibri"/>
          <w:bCs/>
          <w:sz w:val="24"/>
          <w:szCs w:val="24"/>
          <w:lang w:val="ro-RO"/>
        </w:rPr>
        <w:t>”</w:t>
      </w:r>
    </w:p>
    <w:p w14:paraId="0AEC07E8" w14:textId="503CEADA"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656 după cuvântul „facturi” se completează cu cuvântul „lunare”;</w:t>
      </w:r>
    </w:p>
    <w:p w14:paraId="7D166D15" w14:textId="5126EBDD"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726 se completează cu subpu</w:t>
      </w:r>
      <w:r w:rsidR="0014360B">
        <w:rPr>
          <w:rFonts w:eastAsia="Calibri"/>
          <w:bCs/>
          <w:sz w:val="24"/>
          <w:szCs w:val="24"/>
          <w:lang w:val="ro-RO"/>
        </w:rPr>
        <w:t>nctele 6) – 10</w:t>
      </w:r>
      <w:r>
        <w:rPr>
          <w:rFonts w:eastAsia="Calibri"/>
          <w:bCs/>
          <w:sz w:val="24"/>
          <w:szCs w:val="24"/>
          <w:lang w:val="ro-RO"/>
        </w:rPr>
        <w:t>) cu următorul conținut:</w:t>
      </w:r>
    </w:p>
    <w:p w14:paraId="3C72127D" w14:textId="2208848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DC1DA9">
        <w:rPr>
          <w:rFonts w:eastAsia="Calibri"/>
          <w:bCs/>
          <w:sz w:val="24"/>
          <w:szCs w:val="24"/>
          <w:lang w:val="ro-RO"/>
        </w:rPr>
        <w:t>6) a</w:t>
      </w:r>
      <w:r w:rsidR="0014360B">
        <w:rPr>
          <w:rFonts w:eastAsia="Calibri"/>
          <w:bCs/>
          <w:sz w:val="24"/>
          <w:szCs w:val="24"/>
          <w:lang w:val="ro-RO"/>
        </w:rPr>
        <w:t>gregatorii de energie electrică;</w:t>
      </w:r>
    </w:p>
    <w:p w14:paraId="7F3C2A69" w14:textId="608C5CDC"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7</w:t>
      </w:r>
      <w:r w:rsidR="0014360B">
        <w:rPr>
          <w:rFonts w:eastAsia="Calibri"/>
          <w:bCs/>
          <w:sz w:val="24"/>
          <w:szCs w:val="24"/>
          <w:lang w:val="ro-RO"/>
        </w:rPr>
        <w:t>) traderii de energie electrică;</w:t>
      </w:r>
    </w:p>
    <w:p w14:paraId="1865587C" w14:textId="00C3CA8D" w:rsidR="0014360B" w:rsidRDefault="00DC1DA9" w:rsidP="00735C54">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lastRenderedPageBreak/>
        <w:t xml:space="preserve">8) </w:t>
      </w:r>
      <w:r w:rsidR="0014360B" w:rsidRPr="00B616EA">
        <w:rPr>
          <w:rFonts w:eastAsia="Calibri"/>
          <w:bCs/>
          <w:sz w:val="24"/>
          <w:szCs w:val="24"/>
          <w:lang w:val="ro-RO"/>
        </w:rPr>
        <w:t>operatorii instalațiilor de stocare</w:t>
      </w:r>
      <w:r w:rsidR="0014360B">
        <w:rPr>
          <w:rFonts w:eastAsia="Calibri"/>
          <w:bCs/>
          <w:sz w:val="24"/>
          <w:szCs w:val="24"/>
          <w:lang w:val="ro-RO"/>
        </w:rPr>
        <w:t>;</w:t>
      </w:r>
    </w:p>
    <w:p w14:paraId="1C3F0FD5" w14:textId="11D342D2" w:rsidR="00DC1DA9" w:rsidRDefault="0014360B"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9) </w:t>
      </w:r>
      <w:r w:rsidRPr="00B616EA">
        <w:rPr>
          <w:rFonts w:eastAsia="Calibri"/>
          <w:bCs/>
          <w:sz w:val="24"/>
          <w:szCs w:val="24"/>
          <w:lang w:val="ro-RO"/>
        </w:rPr>
        <w:t>comunitățile de energie a cetățenilor</w:t>
      </w:r>
      <w:r>
        <w:rPr>
          <w:rFonts w:eastAsia="Calibri"/>
          <w:bCs/>
          <w:sz w:val="24"/>
          <w:szCs w:val="24"/>
          <w:lang w:val="ro-RO"/>
        </w:rPr>
        <w:t>;</w:t>
      </w:r>
    </w:p>
    <w:p w14:paraId="70B735DF" w14:textId="304730F7" w:rsidR="0014360B" w:rsidRDefault="0014360B"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10) </w:t>
      </w:r>
      <w:r w:rsidRPr="00B616EA">
        <w:rPr>
          <w:rFonts w:eastAsia="Calibri"/>
          <w:bCs/>
          <w:sz w:val="24"/>
          <w:szCs w:val="24"/>
          <w:lang w:val="ro-RO"/>
        </w:rPr>
        <w:t>comunitățile de energie din surse regenerabile</w:t>
      </w:r>
      <w:r>
        <w:rPr>
          <w:rFonts w:eastAsia="Calibri"/>
          <w:bCs/>
          <w:sz w:val="24"/>
          <w:szCs w:val="24"/>
          <w:lang w:val="ro-RO"/>
        </w:rPr>
        <w:t>.</w:t>
      </w:r>
    </w:p>
    <w:p w14:paraId="5DF12B24" w14:textId="2A254286" w:rsidR="00DC1DA9" w:rsidRDefault="00DC1DA9"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Punctul 739 se expune în redacția următoare:</w:t>
      </w:r>
    </w:p>
    <w:p w14:paraId="49824549" w14:textId="22F1F6C3"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„739. </w:t>
      </w:r>
      <w:r w:rsidRPr="00DC1DA9">
        <w:rPr>
          <w:rFonts w:eastAsia="Calibri"/>
          <w:bCs/>
          <w:sz w:val="24"/>
          <w:szCs w:val="24"/>
          <w:lang w:val="ro-RO"/>
        </w:rPr>
        <w:t>OPEE monitorizează activitatea zilnică a participanților la POCB, PZU și PI prin analiza a cel puțin următorilor indicatori privind funcționarea pieței:</w:t>
      </w:r>
    </w:p>
    <w:p w14:paraId="25A8EC98"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1) cantitatea de energie electrică tranzacționată în cadrul PZU;</w:t>
      </w:r>
    </w:p>
    <w:p w14:paraId="5C894C59" w14:textId="65BC137E"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2) cantitățile de energie electrică tranzacționate</w:t>
      </w:r>
      <w:r w:rsidR="00516101">
        <w:rPr>
          <w:rFonts w:eastAsia="Calibri"/>
          <w:bCs/>
          <w:sz w:val="24"/>
          <w:szCs w:val="24"/>
        </w:rPr>
        <w:t xml:space="preserve"> pe</w:t>
      </w:r>
      <w:r w:rsidRPr="00DC1DA9">
        <w:rPr>
          <w:rFonts w:eastAsia="Calibri"/>
          <w:bCs/>
          <w:sz w:val="24"/>
          <w:szCs w:val="24"/>
          <w:lang w:val="ro-RO"/>
        </w:rPr>
        <w:t xml:space="preserve"> POCB;</w:t>
      </w:r>
    </w:p>
    <w:p w14:paraId="1A42D6F7" w14:textId="77777777" w:rsidR="00DC1DA9" w:rsidRPr="00735C54" w:rsidRDefault="00DC1DA9" w:rsidP="00DC1DA9">
      <w:pPr>
        <w:pStyle w:val="ListParagraph"/>
        <w:tabs>
          <w:tab w:val="left" w:pos="426"/>
        </w:tabs>
        <w:spacing w:before="120" w:after="120" w:line="276" w:lineRule="auto"/>
        <w:ind w:left="284" w:firstLine="0"/>
        <w:rPr>
          <w:rFonts w:eastAsia="Calibri"/>
          <w:bCs/>
          <w:i/>
          <w:sz w:val="24"/>
          <w:szCs w:val="24"/>
          <w:lang w:val="ro-RO"/>
        </w:rPr>
      </w:pPr>
      <w:r w:rsidRPr="00735C54">
        <w:rPr>
          <w:rFonts w:eastAsia="Calibri"/>
          <w:bCs/>
          <w:i/>
          <w:sz w:val="24"/>
          <w:szCs w:val="24"/>
          <w:lang w:val="ro-RO"/>
        </w:rPr>
        <w:t>3) abrogat;</w:t>
      </w:r>
    </w:p>
    <w:p w14:paraId="113D7309"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4) cantitatea de energie electrică tranzacționată pe PI;</w:t>
      </w:r>
    </w:p>
    <w:p w14:paraId="7D72E7AC"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5) cotele piețelor organizate de energie electrică din totalul energiei electrice tranzacționate;</w:t>
      </w:r>
    </w:p>
    <w:p w14:paraId="3C2EB5A9" w14:textId="7A179572"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6) numărul participanților</w:t>
      </w:r>
      <w:r w:rsidR="00645586">
        <w:rPr>
          <w:rFonts w:eastAsia="Calibri"/>
          <w:bCs/>
          <w:sz w:val="24"/>
          <w:szCs w:val="24"/>
          <w:lang w:val="ro-RO"/>
        </w:rPr>
        <w:t xml:space="preserve"> specificat pentru fiecare din </w:t>
      </w:r>
      <w:r w:rsidRPr="00DC1DA9">
        <w:rPr>
          <w:rFonts w:eastAsia="Calibri"/>
          <w:bCs/>
          <w:sz w:val="24"/>
          <w:szCs w:val="24"/>
          <w:lang w:val="ro-RO"/>
        </w:rPr>
        <w:t>POCB, PZU și PI;</w:t>
      </w:r>
    </w:p>
    <w:p w14:paraId="66FBD7C1" w14:textId="34E8830C"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7) cotele energiei electrice tranzacționată de fiecare participant la piața angro de energie electrică în cadrul fiecărei piețe organizate (POCB, PZU, PI);</w:t>
      </w:r>
    </w:p>
    <w:p w14:paraId="6690EC44" w14:textId="77777777" w:rsidR="00DC1DA9" w:rsidRPr="00735C54" w:rsidRDefault="00DC1DA9" w:rsidP="00DC1DA9">
      <w:pPr>
        <w:pStyle w:val="ListParagraph"/>
        <w:tabs>
          <w:tab w:val="left" w:pos="426"/>
        </w:tabs>
        <w:spacing w:before="120" w:after="120" w:line="276" w:lineRule="auto"/>
        <w:ind w:left="284" w:firstLine="0"/>
        <w:rPr>
          <w:rFonts w:eastAsia="Calibri"/>
          <w:bCs/>
          <w:i/>
          <w:sz w:val="24"/>
          <w:szCs w:val="24"/>
          <w:lang w:val="ro-RO"/>
        </w:rPr>
      </w:pPr>
      <w:r w:rsidRPr="00735C54">
        <w:rPr>
          <w:rFonts w:eastAsia="Calibri"/>
          <w:bCs/>
          <w:i/>
          <w:sz w:val="24"/>
          <w:szCs w:val="24"/>
          <w:lang w:val="ro-RO"/>
        </w:rPr>
        <w:t>8) – abrogat;</w:t>
      </w:r>
    </w:p>
    <w:p w14:paraId="60C4CEC8"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9)  statistica tranzacțiilor și cantităților de energie electrică tranzacționate pe fiecare interval de tranzacționare;</w:t>
      </w:r>
    </w:p>
    <w:p w14:paraId="793DC5F0" w14:textId="77777777" w:rsidR="00DC1DA9" w:rsidRPr="00DC1DA9" w:rsidRDefault="00DC1DA9" w:rsidP="00DC1DA9">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10) – abrogat;</w:t>
      </w:r>
    </w:p>
    <w:p w14:paraId="7275CBAB" w14:textId="00CED33A" w:rsidR="00DC1DA9" w:rsidRDefault="00DC1DA9" w:rsidP="00735C54">
      <w:pPr>
        <w:pStyle w:val="ListParagraph"/>
        <w:tabs>
          <w:tab w:val="left" w:pos="426"/>
        </w:tabs>
        <w:spacing w:before="120" w:after="120" w:line="276" w:lineRule="auto"/>
        <w:ind w:left="284" w:firstLine="0"/>
        <w:rPr>
          <w:rFonts w:eastAsia="Calibri"/>
          <w:bCs/>
          <w:sz w:val="24"/>
          <w:szCs w:val="24"/>
          <w:lang w:val="ro-RO"/>
        </w:rPr>
      </w:pPr>
      <w:r w:rsidRPr="00DC1DA9">
        <w:rPr>
          <w:rFonts w:eastAsia="Calibri"/>
          <w:bCs/>
          <w:sz w:val="24"/>
          <w:szCs w:val="24"/>
          <w:lang w:val="ro-RO"/>
        </w:rPr>
        <w:t>11) alți indicatori de monitorizare stabiliți de Agenție în scopul identificării poziției dominante a unui participant.</w:t>
      </w:r>
      <w:r>
        <w:rPr>
          <w:rFonts w:eastAsia="Calibri"/>
          <w:bCs/>
          <w:sz w:val="24"/>
          <w:szCs w:val="24"/>
          <w:lang w:val="ro-RO"/>
        </w:rPr>
        <w:t>”</w:t>
      </w:r>
      <w:r w:rsidR="00645586">
        <w:rPr>
          <w:rFonts w:eastAsia="Calibri"/>
          <w:bCs/>
          <w:sz w:val="24"/>
          <w:szCs w:val="24"/>
          <w:lang w:val="ro-RO"/>
        </w:rPr>
        <w:t>;</w:t>
      </w:r>
    </w:p>
    <w:p w14:paraId="46E3A0DE" w14:textId="198A015C" w:rsidR="00645586" w:rsidRDefault="0064558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740 după cuvântul „privind” se completează cu abrevierea „POCB,”;</w:t>
      </w:r>
    </w:p>
    <w:p w14:paraId="1C49B290" w14:textId="3A7573AE" w:rsidR="00781BB5" w:rsidRDefault="00133BC6" w:rsidP="00133BC6">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E03193">
        <w:rPr>
          <w:rFonts w:eastAsia="Calibri"/>
          <w:bCs/>
          <w:sz w:val="24"/>
          <w:szCs w:val="24"/>
          <w:lang w:val="ro-RO"/>
        </w:rPr>
        <w:t xml:space="preserve">Capitolele V; VI; VII; VIII; </w:t>
      </w:r>
      <w:r w:rsidR="00FD399F" w:rsidRPr="00E03193">
        <w:rPr>
          <w:rFonts w:eastAsia="Calibri"/>
          <w:bCs/>
          <w:sz w:val="24"/>
          <w:szCs w:val="24"/>
          <w:lang w:val="ro-RO"/>
        </w:rPr>
        <w:t>I</w:t>
      </w:r>
      <w:r w:rsidRPr="00E03193">
        <w:rPr>
          <w:rFonts w:eastAsia="Calibri"/>
          <w:bCs/>
          <w:sz w:val="24"/>
          <w:szCs w:val="24"/>
          <w:lang w:val="ro-RO"/>
        </w:rPr>
        <w:t>X</w:t>
      </w:r>
      <w:r w:rsidR="00FD399F" w:rsidRPr="00E03193">
        <w:rPr>
          <w:rFonts w:eastAsia="Calibri"/>
          <w:bCs/>
          <w:sz w:val="24"/>
          <w:szCs w:val="24"/>
          <w:lang w:val="ro-RO"/>
        </w:rPr>
        <w:t xml:space="preserve"> și X</w:t>
      </w:r>
      <w:r w:rsidRPr="00E03193">
        <w:rPr>
          <w:rFonts w:eastAsia="Calibri"/>
          <w:bCs/>
          <w:sz w:val="24"/>
          <w:szCs w:val="24"/>
          <w:lang w:val="ro-RO"/>
        </w:rPr>
        <w:t xml:space="preserve"> ale Titlului XI</w:t>
      </w:r>
      <w:r w:rsidR="00FD399F" w:rsidRPr="00E03193">
        <w:rPr>
          <w:rFonts w:eastAsia="Calibri"/>
          <w:bCs/>
          <w:sz w:val="24"/>
          <w:szCs w:val="24"/>
          <w:lang w:val="ro-RO"/>
        </w:rPr>
        <w:t>I</w:t>
      </w:r>
      <w:r w:rsidRPr="00E03193">
        <w:rPr>
          <w:rFonts w:eastAsia="Calibri"/>
          <w:bCs/>
          <w:sz w:val="24"/>
          <w:szCs w:val="24"/>
          <w:lang w:val="ro-RO"/>
        </w:rPr>
        <w:t xml:space="preserve"> se abrogă;</w:t>
      </w:r>
    </w:p>
    <w:p w14:paraId="221450B2" w14:textId="28BD52F6" w:rsidR="003F2FC2" w:rsidRDefault="008579B2" w:rsidP="00735C5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Secțiunea 1, Capitolul IV a Titlului XIV se </w:t>
      </w:r>
      <w:r w:rsidR="0014360B">
        <w:rPr>
          <w:rFonts w:eastAsia="Calibri"/>
          <w:bCs/>
          <w:sz w:val="24"/>
          <w:szCs w:val="24"/>
          <w:lang w:val="ro-RO"/>
        </w:rPr>
        <w:t>abrogă</w:t>
      </w:r>
      <w:r>
        <w:rPr>
          <w:rFonts w:eastAsia="Calibri"/>
          <w:bCs/>
          <w:sz w:val="24"/>
          <w:szCs w:val="24"/>
          <w:lang w:val="ro-RO"/>
        </w:rPr>
        <w:t>;</w:t>
      </w:r>
    </w:p>
    <w:p w14:paraId="42AB26E4" w14:textId="16582DD1" w:rsidR="003F2FC2" w:rsidRPr="00735C54" w:rsidRDefault="003F2FC2" w:rsidP="00735C54">
      <w:pPr>
        <w:pStyle w:val="ListParagraph"/>
        <w:numPr>
          <w:ilvl w:val="1"/>
          <w:numId w:val="1"/>
        </w:numPr>
        <w:tabs>
          <w:tab w:val="left" w:pos="426"/>
        </w:tabs>
        <w:spacing w:before="120" w:after="120" w:line="276" w:lineRule="auto"/>
        <w:ind w:left="284" w:hanging="307"/>
        <w:rPr>
          <w:rFonts w:eastAsia="Calibri"/>
          <w:bCs/>
          <w:sz w:val="24"/>
          <w:szCs w:val="24"/>
          <w:lang w:val="ro-RO"/>
        </w:rPr>
      </w:pPr>
      <w:r w:rsidRPr="00735C54">
        <w:rPr>
          <w:rFonts w:eastAsia="Calibri"/>
          <w:bCs/>
          <w:sz w:val="24"/>
          <w:szCs w:val="24"/>
          <w:lang w:val="ro-RO"/>
        </w:rPr>
        <w:t>Secțiunea 2, Capitolul IV a Titlului XIV se redenumește în „Stabilirea prețurilor plafon pe PZU”</w:t>
      </w:r>
      <w:r w:rsidR="00C82B2D">
        <w:rPr>
          <w:rFonts w:eastAsia="Calibri"/>
          <w:bCs/>
          <w:sz w:val="24"/>
          <w:szCs w:val="24"/>
          <w:lang w:val="ro-RO"/>
        </w:rPr>
        <w:t>;</w:t>
      </w:r>
    </w:p>
    <w:p w14:paraId="482EDA9A" w14:textId="16E28FF1" w:rsidR="00444C2C" w:rsidRDefault="00444C2C"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768 se exclude; </w:t>
      </w:r>
    </w:p>
    <w:p w14:paraId="16FDDD30" w14:textId="28E73026" w:rsidR="00092D80" w:rsidRDefault="00092D80"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770 textul „La etapa de lansare a PZU” se exclude;</w:t>
      </w:r>
    </w:p>
    <w:p w14:paraId="463F21C6" w14:textId="5F609340" w:rsidR="00432855" w:rsidRDefault="00387404" w:rsidP="008579B2">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Punctele</w:t>
      </w:r>
      <w:r w:rsidR="00432855">
        <w:rPr>
          <w:rFonts w:eastAsia="Calibri"/>
          <w:bCs/>
          <w:sz w:val="24"/>
          <w:szCs w:val="24"/>
          <w:lang w:val="ro-RO"/>
        </w:rPr>
        <w:t xml:space="preserve"> 777</w:t>
      </w:r>
      <w:r>
        <w:rPr>
          <w:rFonts w:eastAsia="Calibri"/>
          <w:bCs/>
          <w:sz w:val="24"/>
          <w:szCs w:val="24"/>
          <w:lang w:val="ro-RO"/>
        </w:rPr>
        <w:t xml:space="preserve"> și 783</w:t>
      </w:r>
      <w:r w:rsidR="00432855">
        <w:rPr>
          <w:rFonts w:eastAsia="Calibri"/>
          <w:bCs/>
          <w:sz w:val="24"/>
          <w:szCs w:val="24"/>
          <w:lang w:val="ro-RO"/>
        </w:rPr>
        <w:t xml:space="preserve"> se exclu</w:t>
      </w:r>
      <w:r>
        <w:rPr>
          <w:rFonts w:eastAsia="Calibri"/>
          <w:bCs/>
          <w:sz w:val="24"/>
          <w:szCs w:val="24"/>
          <w:lang w:val="ro-RO"/>
        </w:rPr>
        <w:t>d</w:t>
      </w:r>
      <w:r w:rsidR="00432855">
        <w:rPr>
          <w:rFonts w:eastAsia="Calibri"/>
          <w:bCs/>
          <w:sz w:val="24"/>
          <w:szCs w:val="24"/>
          <w:lang w:val="ro-RO"/>
        </w:rPr>
        <w:t xml:space="preserve">; </w:t>
      </w:r>
    </w:p>
    <w:p w14:paraId="79AB0949" w14:textId="77777777" w:rsidR="005426D4" w:rsidRDefault="005426D4"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780 se expune în redacția următoare: </w:t>
      </w:r>
    </w:p>
    <w:p w14:paraId="319025EA" w14:textId="144308B1" w:rsidR="005426D4" w:rsidRDefault="005426D4" w:rsidP="005426D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„780. </w:t>
      </w:r>
      <w:r w:rsidRPr="005426D4">
        <w:rPr>
          <w:rFonts w:eastAsia="Calibri"/>
          <w:bCs/>
          <w:sz w:val="24"/>
          <w:szCs w:val="24"/>
          <w:lang w:val="ro-RO"/>
        </w:rPr>
        <w:t xml:space="preserve">Până la constatarea unui nivel suficient de lichiditate în cadrul PZU consemnat de Agenție în cadrul raportului privind piețele </w:t>
      </w:r>
      <w:r w:rsidR="000E5AF8">
        <w:rPr>
          <w:rFonts w:eastAsia="Calibri"/>
          <w:bCs/>
          <w:sz w:val="24"/>
          <w:szCs w:val="24"/>
          <w:lang w:val="ro-RO"/>
        </w:rPr>
        <w:t>de energie electrică prevăzut în</w:t>
      </w:r>
      <w:r w:rsidRPr="005426D4">
        <w:rPr>
          <w:rFonts w:eastAsia="Calibri"/>
          <w:bCs/>
          <w:sz w:val="24"/>
          <w:szCs w:val="24"/>
          <w:lang w:val="ro-RO"/>
        </w:rPr>
        <w:t xml:space="preserve"> art. 101 din Legea nr. 164/2025 cu privire la energia electrică, în locul PIP, OST utilizează în procesul de decontare al dezechilibrelor PRE prețul mediu ponderat al energiei electrice achiziționată de furnizorii de energie electrică care furnizează energie electrică la prețuri reglementate în luna pentru care se decontează dezechilibrele, fără a considera energia electrică achiziționată de la beneficiarii de scheme de sprijin și cea generată de centralele electrice de termoficare urbane.</w:t>
      </w:r>
      <w:r w:rsidR="000E5AF8">
        <w:rPr>
          <w:rFonts w:eastAsia="Calibri"/>
          <w:bCs/>
          <w:sz w:val="24"/>
          <w:szCs w:val="24"/>
          <w:lang w:val="ro-RO"/>
        </w:rPr>
        <w:t xml:space="preserve"> </w:t>
      </w:r>
      <w:r w:rsidRPr="00E5216E">
        <w:rPr>
          <w:rFonts w:eastAsia="Calibri"/>
          <w:bCs/>
          <w:sz w:val="24"/>
          <w:szCs w:val="24"/>
          <w:lang w:val="ro-RO"/>
        </w:rPr>
        <w:t>În scopul determinării de către OST a prețului mediu ponderat al energiei electrice, furnizorii serviciului universal și de ultimă opțiune transmit lunar către OST, în termen de 15 zile de la începutul lunii următoare lunii de livrare, informațiile privind cantitățile de energie electrică achiziționată și prețurile acesteia, specificate pe fiecare tranzacție / contract, cu excepția energiei electrice achiziționată de la beneficiarii de scheme de sprijin și cea generată de centralele electrice de termoficare urbane.”</w:t>
      </w:r>
    </w:p>
    <w:p w14:paraId="32B82147" w14:textId="56F38345" w:rsidR="00444C2C" w:rsidRDefault="00444C2C"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Capitolului V al Titlului XI</w:t>
      </w:r>
      <w:r w:rsidR="006006C8">
        <w:rPr>
          <w:rFonts w:eastAsia="Calibri"/>
          <w:bCs/>
          <w:sz w:val="24"/>
          <w:szCs w:val="24"/>
          <w:lang w:val="ro-RO"/>
        </w:rPr>
        <w:t xml:space="preserve">V expune în redacția următoare </w:t>
      </w:r>
      <w:r w:rsidRPr="00444C2C">
        <w:rPr>
          <w:rFonts w:eastAsia="Calibri"/>
          <w:bCs/>
          <w:sz w:val="24"/>
          <w:szCs w:val="24"/>
          <w:lang w:val="ro-RO"/>
        </w:rPr>
        <w:t>„Participarea la POCB/PZU/PI</w:t>
      </w:r>
      <w:r>
        <w:rPr>
          <w:rFonts w:eastAsia="Calibri"/>
          <w:bCs/>
          <w:sz w:val="24"/>
          <w:szCs w:val="24"/>
          <w:lang w:val="ro-RO"/>
        </w:rPr>
        <w:t xml:space="preserve">”; </w:t>
      </w:r>
    </w:p>
    <w:p w14:paraId="1A2A880E" w14:textId="7E317D4E" w:rsidR="00444C2C" w:rsidRDefault="00444C2C"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Secțiunii 1 a Capitolului V din Titlul XIV expune în redacția următoar</w:t>
      </w:r>
      <w:r w:rsidR="002908FA">
        <w:rPr>
          <w:rFonts w:eastAsia="Calibri"/>
          <w:bCs/>
          <w:sz w:val="24"/>
          <w:szCs w:val="24"/>
          <w:lang w:val="ro-RO"/>
        </w:rPr>
        <w:t xml:space="preserve">e </w:t>
      </w:r>
      <w:r>
        <w:rPr>
          <w:rFonts w:eastAsia="Calibri"/>
          <w:bCs/>
          <w:sz w:val="24"/>
          <w:szCs w:val="24"/>
          <w:lang w:val="ro-RO"/>
        </w:rPr>
        <w:t>„Participanții</w:t>
      </w:r>
      <w:r w:rsidRPr="00444C2C">
        <w:rPr>
          <w:rFonts w:eastAsia="Calibri"/>
          <w:bCs/>
          <w:sz w:val="24"/>
          <w:szCs w:val="24"/>
          <w:lang w:val="ro-RO"/>
        </w:rPr>
        <w:t xml:space="preserve"> la POCB/PZU/PI</w:t>
      </w:r>
      <w:r>
        <w:rPr>
          <w:rFonts w:eastAsia="Calibri"/>
          <w:bCs/>
          <w:sz w:val="24"/>
          <w:szCs w:val="24"/>
          <w:lang w:val="ro-RO"/>
        </w:rPr>
        <w:t>”;</w:t>
      </w:r>
    </w:p>
    <w:p w14:paraId="32FC7D4B" w14:textId="77777777" w:rsidR="002908FA" w:rsidRDefault="002908FA"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787 se expune în redacția următoare: </w:t>
      </w:r>
    </w:p>
    <w:p w14:paraId="21E53B18" w14:textId="259B0FE5" w:rsidR="002908FA" w:rsidRDefault="002908FA"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lastRenderedPageBreak/>
        <w:t xml:space="preserve"> „</w:t>
      </w:r>
      <w:r w:rsidRPr="002908FA">
        <w:rPr>
          <w:rFonts w:eastAsia="Calibri"/>
          <w:bCs/>
          <w:sz w:val="24"/>
          <w:szCs w:val="24"/>
        </w:rPr>
        <w:t xml:space="preserve">787. </w:t>
      </w:r>
      <w:r w:rsidR="006006C8" w:rsidRPr="006006C8">
        <w:rPr>
          <w:rFonts w:eastAsia="Calibri"/>
          <w:bCs/>
          <w:sz w:val="24"/>
          <w:szCs w:val="24"/>
          <w:lang w:val="ro-MD"/>
        </w:rPr>
        <w:t>Participate</w:t>
      </w:r>
      <w:r w:rsidRPr="006006C8">
        <w:rPr>
          <w:rFonts w:eastAsia="Calibri"/>
          <w:bCs/>
          <w:sz w:val="24"/>
          <w:szCs w:val="24"/>
          <w:lang w:val="ro-MD"/>
        </w:rPr>
        <w:t xml:space="preserve"> la POCB, la PZU, respectiv PI este permisă entităților care au fost înregistrate de OPEE ca participanți la POCB, PZU</w:t>
      </w:r>
      <w:r w:rsidRPr="006006C8">
        <w:rPr>
          <w:rFonts w:eastAsia="Calibri"/>
          <w:b/>
          <w:bCs/>
          <w:sz w:val="24"/>
          <w:szCs w:val="24"/>
          <w:lang w:val="ro-MD"/>
        </w:rPr>
        <w:t xml:space="preserve">, </w:t>
      </w:r>
      <w:r w:rsidRPr="006006C8">
        <w:rPr>
          <w:rFonts w:eastAsia="Calibri"/>
          <w:bCs/>
          <w:sz w:val="24"/>
          <w:szCs w:val="24"/>
          <w:lang w:val="ro-MD"/>
        </w:rPr>
        <w:t>PI și au contract de echilibrare încheiat cu OST.”</w:t>
      </w:r>
      <w:r w:rsidR="006006C8">
        <w:rPr>
          <w:rFonts w:eastAsia="Calibri"/>
          <w:bCs/>
          <w:sz w:val="24"/>
          <w:szCs w:val="24"/>
          <w:lang w:val="ro-MD"/>
        </w:rPr>
        <w:t>;</w:t>
      </w:r>
    </w:p>
    <w:p w14:paraId="1056B235" w14:textId="77777777" w:rsidR="00A7447B" w:rsidRDefault="00A7447B" w:rsidP="006006C8">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 xml:space="preserve">Punctul 788 se expune în redacția următoare: </w:t>
      </w:r>
    </w:p>
    <w:p w14:paraId="55901C3B" w14:textId="68FF5612" w:rsidR="00A7447B" w:rsidRDefault="00A7447B" w:rsidP="006006C8">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„788. </w:t>
      </w:r>
      <w:r w:rsidRPr="00A7447B">
        <w:rPr>
          <w:rFonts w:eastAsia="Calibri"/>
          <w:bCs/>
          <w:sz w:val="24"/>
          <w:szCs w:val="24"/>
          <w:lang w:val="ro-RO"/>
        </w:rPr>
        <w:t>Un participant la piața de energie electrică poate participa la PZU și la PI doar dacă a semnat contractul de participare la PZU și PI, care cuprinde drepturile și responsabilitățile reciproce ale OPEE și ale fiecărui participant la PZU și PI.</w:t>
      </w:r>
      <w:r>
        <w:rPr>
          <w:rFonts w:eastAsia="Calibri"/>
          <w:bCs/>
          <w:sz w:val="24"/>
          <w:szCs w:val="24"/>
          <w:lang w:val="ro-RO"/>
        </w:rPr>
        <w:t>”;</w:t>
      </w:r>
    </w:p>
    <w:p w14:paraId="3987FDF7" w14:textId="65E9CDFC" w:rsidR="00E564F2" w:rsidRDefault="007916EB"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Se completează cu punctul 788</w:t>
      </w:r>
      <w:r w:rsidRPr="00735C54">
        <w:rPr>
          <w:rFonts w:eastAsia="Calibri"/>
          <w:bCs/>
          <w:sz w:val="24"/>
          <w:szCs w:val="24"/>
          <w:vertAlign w:val="superscript"/>
          <w:lang w:val="ro-RO"/>
        </w:rPr>
        <w:t>1</w:t>
      </w:r>
      <w:r>
        <w:rPr>
          <w:rFonts w:eastAsia="Calibri"/>
          <w:bCs/>
          <w:sz w:val="24"/>
          <w:szCs w:val="24"/>
          <w:lang w:val="ro-RO"/>
        </w:rPr>
        <w:t xml:space="preserve"> cu următorul conținut: </w:t>
      </w:r>
    </w:p>
    <w:p w14:paraId="366125CD" w14:textId="1CF5242D" w:rsidR="007916EB" w:rsidRDefault="007916EB" w:rsidP="006006C8">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00E564F2" w:rsidRPr="00E564F2">
        <w:rPr>
          <w:rFonts w:eastAsia="Calibri"/>
          <w:bCs/>
          <w:sz w:val="24"/>
          <w:szCs w:val="24"/>
          <w:lang w:val="ro-RO"/>
        </w:rPr>
        <w:t>788</w:t>
      </w:r>
      <w:r w:rsidR="00E564F2" w:rsidRPr="00735C54">
        <w:rPr>
          <w:rFonts w:eastAsia="Calibri"/>
          <w:bCs/>
          <w:sz w:val="24"/>
          <w:szCs w:val="24"/>
          <w:vertAlign w:val="superscript"/>
          <w:lang w:val="ro-RO"/>
        </w:rPr>
        <w:t>1</w:t>
      </w:r>
      <w:r w:rsidR="00E564F2" w:rsidRPr="00E564F2">
        <w:rPr>
          <w:rFonts w:eastAsia="Calibri"/>
          <w:bCs/>
          <w:sz w:val="24"/>
          <w:szCs w:val="24"/>
          <w:lang w:val="ro-RO"/>
        </w:rPr>
        <w:t>. Un participant la piața de energie electrică poate participa la POCB doar dacă a semnat contractul de participare la POCB care cuprinde drepturile și responsabilitățile reciproce ale OPEE și ale fiecărui participant la POCB.</w:t>
      </w:r>
      <w:r>
        <w:rPr>
          <w:rFonts w:eastAsia="Calibri"/>
          <w:bCs/>
          <w:sz w:val="24"/>
          <w:szCs w:val="24"/>
          <w:lang w:val="ro-RO"/>
        </w:rPr>
        <w:t>”</w:t>
      </w:r>
      <w:r w:rsidR="00E564F2">
        <w:rPr>
          <w:rFonts w:eastAsia="Calibri"/>
          <w:bCs/>
          <w:sz w:val="24"/>
          <w:szCs w:val="24"/>
          <w:lang w:val="ro-RO"/>
        </w:rPr>
        <w:t>;</w:t>
      </w:r>
    </w:p>
    <w:p w14:paraId="6ED72D8A" w14:textId="77777777" w:rsidR="000D6177" w:rsidRDefault="000D6177" w:rsidP="00735C54">
      <w:pPr>
        <w:pStyle w:val="ListParagraph"/>
        <w:numPr>
          <w:ilvl w:val="1"/>
          <w:numId w:val="1"/>
        </w:numPr>
        <w:tabs>
          <w:tab w:val="left" w:pos="426"/>
        </w:tabs>
        <w:spacing w:before="120" w:after="120" w:line="276" w:lineRule="auto"/>
        <w:ind w:left="426" w:hanging="426"/>
        <w:rPr>
          <w:rFonts w:eastAsia="Calibri"/>
          <w:bCs/>
          <w:sz w:val="24"/>
          <w:szCs w:val="24"/>
          <w:lang w:val="ro-RO"/>
        </w:rPr>
      </w:pPr>
      <w:r>
        <w:rPr>
          <w:rFonts w:eastAsia="Calibri"/>
          <w:bCs/>
          <w:sz w:val="24"/>
          <w:szCs w:val="24"/>
          <w:lang w:val="ro-RO"/>
        </w:rPr>
        <w:t xml:space="preserve">Punctul 789 se expune în redacția următoare: </w:t>
      </w:r>
    </w:p>
    <w:p w14:paraId="225120F5" w14:textId="79C46BF6" w:rsidR="00D5691B" w:rsidRDefault="000D6177" w:rsidP="00735C54">
      <w:pPr>
        <w:pStyle w:val="ListParagraph"/>
        <w:tabs>
          <w:tab w:val="left" w:pos="426"/>
        </w:tabs>
        <w:spacing w:before="120" w:after="120" w:line="276" w:lineRule="auto"/>
        <w:ind w:left="426" w:firstLine="0"/>
        <w:rPr>
          <w:rFonts w:eastAsia="Calibri"/>
          <w:bCs/>
          <w:sz w:val="24"/>
          <w:szCs w:val="24"/>
          <w:lang w:val="ro-RO"/>
        </w:rPr>
      </w:pPr>
      <w:r>
        <w:rPr>
          <w:rFonts w:eastAsia="Calibri"/>
          <w:bCs/>
          <w:sz w:val="24"/>
          <w:szCs w:val="24"/>
          <w:lang w:val="ro-RO"/>
        </w:rPr>
        <w:t xml:space="preserve">„789. </w:t>
      </w:r>
      <w:r w:rsidRPr="000D6177">
        <w:rPr>
          <w:rFonts w:eastAsia="Calibri"/>
          <w:bCs/>
          <w:sz w:val="24"/>
          <w:szCs w:val="24"/>
          <w:lang w:val="ro-RO"/>
        </w:rPr>
        <w:t>Numai participanții înregistrați de OPEE la POCB, la PZU, respectiv PI au dreptul să tranzacționeze pe POCB, PZU, respectiv PI și să transmită oferte către OPEE.</w:t>
      </w:r>
      <w:r>
        <w:rPr>
          <w:rFonts w:eastAsia="Calibri"/>
          <w:bCs/>
          <w:sz w:val="24"/>
          <w:szCs w:val="24"/>
          <w:lang w:val="ro-RO"/>
        </w:rPr>
        <w:t>”</w:t>
      </w:r>
      <w:r w:rsidR="006006C8">
        <w:rPr>
          <w:rFonts w:eastAsia="Calibri"/>
          <w:bCs/>
          <w:sz w:val="24"/>
          <w:szCs w:val="24"/>
          <w:lang w:val="ro-RO"/>
        </w:rPr>
        <w:t>;</w:t>
      </w:r>
    </w:p>
    <w:p w14:paraId="54B4A82B" w14:textId="118E7CA9" w:rsidR="005426D4" w:rsidRDefault="00DB58A8" w:rsidP="005426D4">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Punctul 790 se completează cu subpunctele </w:t>
      </w:r>
      <w:r w:rsidR="00B616EA">
        <w:rPr>
          <w:rFonts w:eastAsia="Calibri"/>
          <w:bCs/>
          <w:sz w:val="24"/>
          <w:szCs w:val="24"/>
          <w:lang w:val="ro-RO"/>
        </w:rPr>
        <w:t xml:space="preserve">5) – 9) cu următorul conținut: </w:t>
      </w:r>
    </w:p>
    <w:p w14:paraId="2AA34D2C"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B616EA">
        <w:rPr>
          <w:rFonts w:eastAsia="Calibri"/>
          <w:bCs/>
          <w:sz w:val="24"/>
          <w:szCs w:val="24"/>
          <w:lang w:val="ro-RO"/>
        </w:rPr>
        <w:t>5). operatorii instalațiilor de stocare;</w:t>
      </w:r>
    </w:p>
    <w:p w14:paraId="55D46308"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6). traderii;</w:t>
      </w:r>
    </w:p>
    <w:p w14:paraId="4FE7FFC6"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7). agregatorii;</w:t>
      </w:r>
    </w:p>
    <w:p w14:paraId="124C2EEA" w14:textId="77777777" w:rsidR="00B616EA" w:rsidRPr="00B616EA" w:rsidRDefault="00B616EA" w:rsidP="00B616EA">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8). comunitățile de energie a cetățenilor;</w:t>
      </w:r>
    </w:p>
    <w:p w14:paraId="155FBBDE" w14:textId="0FB094A3" w:rsidR="00B616EA" w:rsidRDefault="00B616EA" w:rsidP="00735C54">
      <w:pPr>
        <w:pStyle w:val="ListParagraph"/>
        <w:tabs>
          <w:tab w:val="left" w:pos="426"/>
        </w:tabs>
        <w:spacing w:before="120" w:after="120" w:line="276" w:lineRule="auto"/>
        <w:ind w:left="284" w:firstLine="0"/>
        <w:rPr>
          <w:rFonts w:eastAsia="Calibri"/>
          <w:bCs/>
          <w:sz w:val="24"/>
          <w:szCs w:val="24"/>
          <w:lang w:val="ro-RO"/>
        </w:rPr>
      </w:pPr>
      <w:r w:rsidRPr="00B616EA">
        <w:rPr>
          <w:rFonts w:eastAsia="Calibri"/>
          <w:bCs/>
          <w:sz w:val="24"/>
          <w:szCs w:val="24"/>
          <w:lang w:val="ro-RO"/>
        </w:rPr>
        <w:t>9). comunitățile de energie din surse regenerabile.</w:t>
      </w:r>
      <w:r>
        <w:rPr>
          <w:rFonts w:eastAsia="Calibri"/>
          <w:bCs/>
          <w:sz w:val="24"/>
          <w:szCs w:val="24"/>
          <w:lang w:val="ro-RO"/>
        </w:rPr>
        <w:t>”</w:t>
      </w:r>
    </w:p>
    <w:p w14:paraId="4A02E8F9" w14:textId="77777777" w:rsidR="00487605" w:rsidRDefault="00487605" w:rsidP="00735C54">
      <w:pPr>
        <w:pStyle w:val="ListParagraph"/>
        <w:numPr>
          <w:ilvl w:val="1"/>
          <w:numId w:val="1"/>
        </w:numPr>
        <w:tabs>
          <w:tab w:val="left" w:pos="426"/>
        </w:tabs>
        <w:spacing w:before="120" w:after="120" w:line="276" w:lineRule="auto"/>
        <w:ind w:left="284"/>
        <w:rPr>
          <w:rFonts w:eastAsia="Calibri"/>
          <w:bCs/>
          <w:sz w:val="24"/>
          <w:szCs w:val="24"/>
          <w:lang w:val="ro-RO"/>
        </w:rPr>
      </w:pPr>
      <w:r>
        <w:rPr>
          <w:rFonts w:eastAsia="Calibri"/>
          <w:bCs/>
          <w:sz w:val="24"/>
          <w:szCs w:val="24"/>
          <w:lang w:val="ro-RO"/>
        </w:rPr>
        <w:t xml:space="preserve">Punctul 791 se expune în redacția următoare: </w:t>
      </w:r>
    </w:p>
    <w:p w14:paraId="78B2AC88" w14:textId="367BE4BD" w:rsidR="00C25247" w:rsidRDefault="00487605"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„791. </w:t>
      </w:r>
      <w:r w:rsidRPr="00487605">
        <w:rPr>
          <w:rFonts w:eastAsia="Calibri"/>
          <w:bCs/>
          <w:sz w:val="24"/>
          <w:szCs w:val="24"/>
          <w:lang w:val="ro-RO"/>
        </w:rPr>
        <w:t>Un operator de sistem nu are dreptul să tranzacționeze pe POCB, pe PZU, respectiv PI în scopul obținerii unui profit. Un operator de sistem are dreptul să vândă și/sau să achiziționeze energie electrică pe PZU, respectiv PI numai pentru acoperirea necesarului prognozat de energie electrică pentru consumul tehnologic în rețelele electrice în situația în care, prin intermediul POCB nu s-a procurat necesarul total de energie electrică, sau în cazul în care există o cantitate suplimentară contractată anterior zilei de transmitere a ofertelor pe PZU, respectiv PI.</w:t>
      </w:r>
      <w:r>
        <w:rPr>
          <w:rFonts w:eastAsia="Calibri"/>
          <w:bCs/>
          <w:sz w:val="24"/>
          <w:szCs w:val="24"/>
          <w:lang w:val="ro-RO"/>
        </w:rPr>
        <w:t>”</w:t>
      </w:r>
    </w:p>
    <w:p w14:paraId="4FCD6689" w14:textId="48BB7FD6" w:rsidR="00487605" w:rsidRDefault="00487605" w:rsidP="00735C54">
      <w:pPr>
        <w:pStyle w:val="ListParagraph"/>
        <w:numPr>
          <w:ilvl w:val="1"/>
          <w:numId w:val="1"/>
        </w:numPr>
        <w:tabs>
          <w:tab w:val="left" w:pos="426"/>
        </w:tabs>
        <w:spacing w:before="120" w:after="120" w:line="276" w:lineRule="auto"/>
        <w:ind w:left="284" w:hanging="284"/>
        <w:rPr>
          <w:rFonts w:eastAsia="Calibri"/>
          <w:bCs/>
          <w:sz w:val="24"/>
          <w:szCs w:val="24"/>
          <w:lang w:val="ro-RO"/>
        </w:rPr>
      </w:pPr>
      <w:r>
        <w:rPr>
          <w:rFonts w:eastAsia="Calibri"/>
          <w:bCs/>
          <w:sz w:val="24"/>
          <w:szCs w:val="24"/>
          <w:lang w:val="ro-RO"/>
        </w:rPr>
        <w:t>Denumirea Secțiunii 2 a Capitolului V din Titlul XIV</w:t>
      </w:r>
      <w:r w:rsidR="00AF4A8F">
        <w:rPr>
          <w:rFonts w:eastAsia="Calibri"/>
          <w:bCs/>
          <w:sz w:val="24"/>
          <w:szCs w:val="24"/>
          <w:lang w:val="ro-RO"/>
        </w:rPr>
        <w:t xml:space="preserve"> se</w:t>
      </w:r>
      <w:r>
        <w:rPr>
          <w:rFonts w:eastAsia="Calibri"/>
          <w:bCs/>
          <w:sz w:val="24"/>
          <w:szCs w:val="24"/>
          <w:lang w:val="ro-RO"/>
        </w:rPr>
        <w:t xml:space="preserve"> expune în redacția următoare: „</w:t>
      </w:r>
      <w:r w:rsidRPr="00487605">
        <w:rPr>
          <w:rFonts w:eastAsia="Calibri"/>
          <w:bCs/>
          <w:sz w:val="24"/>
          <w:szCs w:val="24"/>
          <w:lang w:val="ro-RO"/>
        </w:rPr>
        <w:t>Înregistrarea participanților la POCB/PZU/PI.</w:t>
      </w:r>
      <w:r>
        <w:rPr>
          <w:rFonts w:eastAsia="Calibri"/>
          <w:bCs/>
          <w:sz w:val="24"/>
          <w:szCs w:val="24"/>
          <w:lang w:val="ro-RO"/>
        </w:rPr>
        <w:t>”</w:t>
      </w:r>
    </w:p>
    <w:p w14:paraId="0CF73DAF" w14:textId="7F852A9F" w:rsidR="00884CAE" w:rsidRDefault="004D477D" w:rsidP="004D477D">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w:t>
      </w:r>
      <w:r w:rsidR="00487605">
        <w:rPr>
          <w:rFonts w:eastAsia="Calibri"/>
          <w:bCs/>
          <w:sz w:val="24"/>
          <w:szCs w:val="24"/>
          <w:lang w:val="ro-RO"/>
        </w:rPr>
        <w:t xml:space="preserve">unctul 794 </w:t>
      </w:r>
      <w:r w:rsidR="00884CAE">
        <w:rPr>
          <w:rFonts w:eastAsia="Calibri"/>
          <w:bCs/>
          <w:sz w:val="24"/>
          <w:szCs w:val="24"/>
          <w:lang w:val="ro-RO"/>
        </w:rPr>
        <w:t xml:space="preserve">se expune în redacția următoare: </w:t>
      </w:r>
    </w:p>
    <w:p w14:paraId="3900DE11" w14:textId="7C52BBB0" w:rsidR="00487605" w:rsidRDefault="00884CA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884CAE">
        <w:rPr>
          <w:rFonts w:eastAsia="Calibri"/>
          <w:bCs/>
          <w:sz w:val="24"/>
          <w:szCs w:val="24"/>
          <w:lang w:val="ro-RO"/>
        </w:rPr>
        <w:t>794. Înregistra</w:t>
      </w:r>
      <w:r>
        <w:rPr>
          <w:rFonts w:eastAsia="Calibri"/>
          <w:bCs/>
          <w:sz w:val="24"/>
          <w:szCs w:val="24"/>
          <w:lang w:val="ro-RO"/>
        </w:rPr>
        <w:t>rea participanților la POCB/PZU</w:t>
      </w:r>
      <w:r w:rsidRPr="00884CAE">
        <w:rPr>
          <w:rFonts w:eastAsia="Calibri"/>
          <w:bCs/>
          <w:sz w:val="24"/>
          <w:szCs w:val="24"/>
          <w:lang w:val="ro-RO"/>
        </w:rPr>
        <w:t xml:space="preserve"> și PI se face la solicitarea acestora adresată OPEE, realizată în condițiile prevăzute în prezenta secțiune.</w:t>
      </w:r>
      <w:r>
        <w:rPr>
          <w:rFonts w:eastAsia="Calibri"/>
          <w:bCs/>
          <w:sz w:val="24"/>
          <w:szCs w:val="24"/>
          <w:lang w:val="ro-RO"/>
        </w:rPr>
        <w:t>”</w:t>
      </w:r>
      <w:r w:rsidR="00487605">
        <w:rPr>
          <w:rFonts w:eastAsia="Calibri"/>
          <w:bCs/>
          <w:sz w:val="24"/>
          <w:szCs w:val="24"/>
          <w:lang w:val="ro-RO"/>
        </w:rPr>
        <w:t>;</w:t>
      </w:r>
    </w:p>
    <w:p w14:paraId="120DAC92" w14:textId="0777568B" w:rsidR="00487605" w:rsidRDefault="00487605"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La punctul 795 înainte de abrevierea „PZU”</w:t>
      </w:r>
      <w:r w:rsidR="0069002E">
        <w:rPr>
          <w:rFonts w:eastAsia="Calibri"/>
          <w:bCs/>
          <w:sz w:val="24"/>
          <w:szCs w:val="24"/>
          <w:lang w:val="ro-RO"/>
        </w:rPr>
        <w:t xml:space="preserve"> se completează cu „POCB,”;</w:t>
      </w:r>
      <w:r>
        <w:rPr>
          <w:rFonts w:eastAsia="Calibri"/>
          <w:bCs/>
          <w:sz w:val="24"/>
          <w:szCs w:val="24"/>
          <w:lang w:val="ro-RO"/>
        </w:rPr>
        <w:t xml:space="preserve"> </w:t>
      </w:r>
    </w:p>
    <w:p w14:paraId="19022F33" w14:textId="35B456D7" w:rsidR="0069002E" w:rsidRDefault="00EA3544"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Punctele</w:t>
      </w:r>
      <w:r w:rsidR="0069002E">
        <w:rPr>
          <w:rFonts w:eastAsia="Calibri"/>
          <w:bCs/>
          <w:sz w:val="24"/>
          <w:szCs w:val="24"/>
          <w:lang w:val="ro-RO"/>
        </w:rPr>
        <w:t xml:space="preserve"> 796</w:t>
      </w:r>
      <w:r>
        <w:rPr>
          <w:rFonts w:eastAsia="Calibri"/>
          <w:bCs/>
          <w:sz w:val="24"/>
          <w:szCs w:val="24"/>
          <w:lang w:val="ro-RO"/>
        </w:rPr>
        <w:t xml:space="preserve"> - 809 se expun</w:t>
      </w:r>
      <w:r w:rsidR="0069002E">
        <w:rPr>
          <w:rFonts w:eastAsia="Calibri"/>
          <w:bCs/>
          <w:sz w:val="24"/>
          <w:szCs w:val="24"/>
          <w:lang w:val="ro-RO"/>
        </w:rPr>
        <w:t xml:space="preserve"> în redacția următoare: </w:t>
      </w:r>
    </w:p>
    <w:p w14:paraId="2456BB23" w14:textId="5FF8EDB1" w:rsidR="00EA3544" w:rsidRPr="00735C54"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„796</w:t>
      </w:r>
      <w:r w:rsidR="009544E2">
        <w:rPr>
          <w:rFonts w:eastAsia="Calibri"/>
          <w:bCs/>
          <w:sz w:val="24"/>
          <w:szCs w:val="24"/>
          <w:lang w:val="ro-RO"/>
        </w:rPr>
        <w:t>.</w:t>
      </w:r>
      <w:r w:rsidR="009544E2" w:rsidRPr="009544E2">
        <w:rPr>
          <w:rFonts w:eastAsia="Calibri"/>
          <w:bCs/>
          <w:sz w:val="24"/>
          <w:szCs w:val="24"/>
          <w:lang w:val="ro-RO"/>
        </w:rPr>
        <w:t xml:space="preserve"> OPEE elaborează Contractul cadru de participare la POCB și Contractul cadrul de participare la PZU și PI, care trebuie să cuprindă drepturile și obligațiile reciproce ale OPEE și ale fiecărui participant la piețele organizate de energie electrică respective. Contractele cadru elaborate și consultate public de OPEE sunt</w:t>
      </w:r>
      <w:r w:rsidR="009544E2">
        <w:rPr>
          <w:rFonts w:eastAsia="Calibri"/>
          <w:bCs/>
          <w:sz w:val="24"/>
          <w:szCs w:val="24"/>
          <w:lang w:val="ro-RO"/>
        </w:rPr>
        <w:t xml:space="preserve"> </w:t>
      </w:r>
      <w:r w:rsidR="009544E2" w:rsidRPr="00735C54">
        <w:rPr>
          <w:rFonts w:eastAsia="Calibri"/>
          <w:bCs/>
          <w:sz w:val="24"/>
          <w:szCs w:val="24"/>
          <w:lang w:val="ro-RO"/>
        </w:rPr>
        <w:t>aprobate după avizarea Agenției.</w:t>
      </w:r>
    </w:p>
    <w:p w14:paraId="3F9BDE2A" w14:textId="0252F852" w:rsidR="0069002E" w:rsidRDefault="00EA3544"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797. </w:t>
      </w:r>
      <w:r w:rsidRPr="00EA3544">
        <w:rPr>
          <w:rFonts w:eastAsia="Calibri"/>
          <w:bCs/>
          <w:sz w:val="24"/>
          <w:szCs w:val="24"/>
          <w:lang w:val="ro-RO"/>
        </w:rPr>
        <w:t>Orice întreprindere electroenergetică poate depune o cerere de înregistrare în calitate de participant la POCB și/sau la cele două piețe pe termen scurt, PZU și PI, conform formularului elaborat de OPEE și publicat pe pagina oficială web</w:t>
      </w:r>
      <w:r w:rsidR="00983B54">
        <w:rPr>
          <w:rFonts w:eastAsia="Calibri"/>
          <w:bCs/>
          <w:sz w:val="24"/>
          <w:szCs w:val="24"/>
          <w:lang w:val="ro-RO"/>
        </w:rPr>
        <w:t>.</w:t>
      </w:r>
    </w:p>
    <w:p w14:paraId="5F09F0E6" w14:textId="3E5D1CDD"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798. </w:t>
      </w:r>
      <w:r w:rsidRPr="0069002E">
        <w:rPr>
          <w:rFonts w:eastAsia="Calibri"/>
          <w:bCs/>
          <w:sz w:val="24"/>
          <w:szCs w:val="24"/>
          <w:lang w:val="ro-RO"/>
        </w:rPr>
        <w:t xml:space="preserve">Cererea de înregistrare este depusă în scris la OPEE, împreună cu următoarele documente: </w:t>
      </w:r>
    </w:p>
    <w:p w14:paraId="1B6B9447"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w:t>
      </w:r>
      <w:r w:rsidRPr="0069002E">
        <w:rPr>
          <w:rFonts w:eastAsia="Calibri"/>
          <w:bCs/>
          <w:sz w:val="24"/>
          <w:szCs w:val="24"/>
          <w:lang w:val="ro-RO"/>
        </w:rPr>
        <w:lastRenderedPageBreak/>
        <w:t xml:space="preserve">de 1 MW (c) consumatorilor finali care deţin o instalaţie de stocare a energiei cu o putere de injecţie mai mică de 1 MW;  </w:t>
      </w:r>
    </w:p>
    <w:p w14:paraId="092430C7"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2) copia deciziei de înregistrare la Registrul de Stat al Unităților de Drept (RSUD); </w:t>
      </w:r>
    </w:p>
    <w:p w14:paraId="4C6FF29F"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3) copia certificatului TVA; </w:t>
      </w:r>
    </w:p>
    <w:p w14:paraId="7DBB9DAB" w14:textId="77777777" w:rsidR="0069002E" w:rsidRPr="0069002E"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4) confirmarea OST privind încheierea unui contract de echilibrare, respectiv numele și codul EIC al părții responsabile cu echilibrarea care și-a asumat echilibrarea pentru participant; </w:t>
      </w:r>
    </w:p>
    <w:p w14:paraId="46710E39" w14:textId="62B2B0D2" w:rsidR="002217AB" w:rsidRDefault="0069002E" w:rsidP="00763749">
      <w:pPr>
        <w:pStyle w:val="ListParagraph"/>
        <w:tabs>
          <w:tab w:val="left" w:pos="426"/>
        </w:tabs>
        <w:spacing w:before="120" w:after="120" w:line="276" w:lineRule="auto"/>
        <w:ind w:left="284" w:firstLine="0"/>
        <w:rPr>
          <w:rFonts w:eastAsia="Calibri"/>
          <w:bCs/>
          <w:sz w:val="24"/>
          <w:szCs w:val="24"/>
          <w:lang w:val="ro-RO"/>
        </w:rPr>
      </w:pPr>
      <w:r w:rsidRPr="0069002E">
        <w:rPr>
          <w:rFonts w:eastAsia="Calibri"/>
          <w:bCs/>
          <w:sz w:val="24"/>
          <w:szCs w:val="24"/>
          <w:lang w:val="ro-RO"/>
        </w:rPr>
        <w:t xml:space="preserve">5) </w:t>
      </w:r>
      <w:r w:rsidR="002217AB" w:rsidRPr="002217AB">
        <w:rPr>
          <w:rFonts w:eastAsia="Calibri"/>
          <w:bCs/>
          <w:sz w:val="24"/>
          <w:szCs w:val="24"/>
          <w:lang w:val="ro-RO"/>
        </w:rPr>
        <w:t>copia notificării privind înregistrarea în Registrul participanților la piața angro de energie, ținut de ANRE;</w:t>
      </w:r>
    </w:p>
    <w:p w14:paraId="7C364DAA" w14:textId="43364876" w:rsidR="002217AB" w:rsidRDefault="002217AB"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6) copia </w:t>
      </w:r>
      <w:r w:rsidR="00734F2F">
        <w:rPr>
          <w:rFonts w:eastAsia="Calibri"/>
          <w:bCs/>
          <w:sz w:val="24"/>
          <w:szCs w:val="24"/>
          <w:lang w:val="ro-RO"/>
        </w:rPr>
        <w:t>actului c</w:t>
      </w:r>
      <w:r>
        <w:rPr>
          <w:rFonts w:eastAsia="Calibri"/>
          <w:bCs/>
          <w:sz w:val="24"/>
          <w:szCs w:val="24"/>
          <w:lang w:val="ro-RO"/>
        </w:rPr>
        <w:t xml:space="preserve">e confirmă </w:t>
      </w:r>
      <w:r w:rsidR="00734F2F" w:rsidRPr="00734F2F">
        <w:rPr>
          <w:rFonts w:eastAsia="Calibri"/>
          <w:bCs/>
          <w:sz w:val="24"/>
          <w:szCs w:val="24"/>
          <w:lang w:val="ro-RO"/>
        </w:rPr>
        <w:t>înregistrarea comunității de energie din surse regenerabile în Registrul comunităților de energie din surse regenerabile, ținut de ANRE;</w:t>
      </w:r>
    </w:p>
    <w:p w14:paraId="2F209A21" w14:textId="2A445132" w:rsidR="00734F2F"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 copia actului ce confirmă </w:t>
      </w:r>
      <w:r w:rsidRPr="00734F2F">
        <w:rPr>
          <w:rFonts w:eastAsia="Calibri"/>
          <w:bCs/>
          <w:sz w:val="24"/>
          <w:szCs w:val="24"/>
          <w:lang w:val="ro-RO"/>
        </w:rPr>
        <w:t xml:space="preserve">înregistrarea comunității de energie </w:t>
      </w:r>
      <w:r>
        <w:rPr>
          <w:rFonts w:eastAsia="Calibri"/>
          <w:bCs/>
          <w:sz w:val="24"/>
          <w:szCs w:val="24"/>
          <w:lang w:val="ro-RO"/>
        </w:rPr>
        <w:t>a cetățenilor</w:t>
      </w:r>
      <w:r w:rsidRPr="00734F2F">
        <w:rPr>
          <w:rFonts w:eastAsia="Calibri"/>
          <w:bCs/>
          <w:sz w:val="24"/>
          <w:szCs w:val="24"/>
          <w:lang w:val="ro-RO"/>
        </w:rPr>
        <w:t xml:space="preserve"> în Registrul comunităților </w:t>
      </w:r>
      <w:r>
        <w:rPr>
          <w:rFonts w:eastAsia="Calibri"/>
          <w:bCs/>
          <w:sz w:val="24"/>
          <w:szCs w:val="24"/>
          <w:lang w:val="ro-RO"/>
        </w:rPr>
        <w:t>de energie a cetățenilor</w:t>
      </w:r>
      <w:r w:rsidRPr="00734F2F">
        <w:rPr>
          <w:rFonts w:eastAsia="Calibri"/>
          <w:bCs/>
          <w:sz w:val="24"/>
          <w:szCs w:val="24"/>
          <w:lang w:val="ro-RO"/>
        </w:rPr>
        <w:t>, ținut de ANRE</w:t>
      </w:r>
      <w:r>
        <w:rPr>
          <w:rFonts w:eastAsia="Calibri"/>
          <w:bCs/>
          <w:sz w:val="24"/>
          <w:szCs w:val="24"/>
          <w:lang w:val="ro-RO"/>
        </w:rPr>
        <w:t>;</w:t>
      </w:r>
    </w:p>
    <w:p w14:paraId="219C9625" w14:textId="611E3134" w:rsidR="0069002E" w:rsidRP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 </w:t>
      </w:r>
      <w:r w:rsidR="0069002E" w:rsidRPr="0069002E">
        <w:rPr>
          <w:rFonts w:eastAsia="Calibri"/>
          <w:bCs/>
          <w:sz w:val="24"/>
          <w:szCs w:val="24"/>
          <w:lang w:val="ro-RO"/>
        </w:rPr>
        <w:t xml:space="preserve">contractul pentru participare la POCB sau la PZU și PI, după caz, completat și semnat de către solicitant; </w:t>
      </w:r>
    </w:p>
    <w:p w14:paraId="0F38C803" w14:textId="5C815BD8" w:rsidR="0069002E" w:rsidRP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9</w:t>
      </w:r>
      <w:r w:rsidR="0069002E" w:rsidRPr="0069002E">
        <w:rPr>
          <w:rFonts w:eastAsia="Calibri"/>
          <w:bCs/>
          <w:sz w:val="24"/>
          <w:szCs w:val="24"/>
          <w:lang w:val="ro-RO"/>
        </w:rPr>
        <w:t xml:space="preserve">) Lista persoanelor de contact/persoanelor responsabile pentru comunicarea cu OPEE, respectiv nume &amp; prenume, funcție, telefon, adresă de email; </w:t>
      </w:r>
    </w:p>
    <w:p w14:paraId="080076B4" w14:textId="710F9A9C" w:rsidR="0069002E" w:rsidRDefault="00734F2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10</w:t>
      </w:r>
      <w:r w:rsidR="0069002E" w:rsidRPr="0069002E">
        <w:rPr>
          <w:rFonts w:eastAsia="Calibri"/>
          <w:bCs/>
          <w:sz w:val="24"/>
          <w:szCs w:val="24"/>
          <w:lang w:val="ro-RO"/>
        </w:rPr>
        <w:t>) extras din Registrul de Stat al Unităților de Drept (RSUD) al persoanelor juridice și întreprinzătorilor individuali</w:t>
      </w:r>
      <w:r w:rsidR="00983B54">
        <w:rPr>
          <w:rFonts w:eastAsia="Calibri"/>
          <w:bCs/>
          <w:sz w:val="24"/>
          <w:szCs w:val="24"/>
          <w:lang w:val="ro-RO"/>
        </w:rPr>
        <w:t>.</w:t>
      </w:r>
    </w:p>
    <w:p w14:paraId="57913353" w14:textId="11E8B4CE" w:rsidR="0069002E" w:rsidRPr="00735C54" w:rsidRDefault="0069002E"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799. </w:t>
      </w:r>
      <w:r w:rsidRPr="0069002E">
        <w:rPr>
          <w:rFonts w:eastAsia="Calibri"/>
          <w:bCs/>
          <w:sz w:val="24"/>
          <w:szCs w:val="24"/>
          <w:lang w:val="ro-RO"/>
        </w:rPr>
        <w:t>În termen de 5 zile lucrătoare din momentul depunerii cererii însoțită de documentele necesare conform procedurii prevăzută la pct. 809, OPEE trebuie să transmită solicitantului contractul semnat. Dacă documentele nu sunt complete/corecte, OPEE solicită completarea/corectarea acestora, termenul de 5 zile lucrătoare urmând a se derula de la data completării corespunzătoare a documentației. Dacă, ulterior solicitării OPEE, cererea de înregistrare nu este completată în mod corespunzător sau materialele anexate nu dovedesc calificarea solicitantului pentru înregistrarea pe POCB sau pe PZU și PI conform procedurii relevante, OPEE comunică solicitantului refuzul de înregistrare în calitate de participant la POCB sau la PZU și PI cu specificarea motivelor refuzului</w:t>
      </w:r>
      <w:r>
        <w:rPr>
          <w:rFonts w:eastAsia="Calibri"/>
          <w:bCs/>
          <w:sz w:val="24"/>
          <w:szCs w:val="24"/>
          <w:lang w:val="ro-RO"/>
        </w:rPr>
        <w:t>.</w:t>
      </w:r>
    </w:p>
    <w:p w14:paraId="381C60FF" w14:textId="15D64C07" w:rsidR="00983B54" w:rsidRDefault="00983B54" w:rsidP="00763749">
      <w:pPr>
        <w:pStyle w:val="ListParagraph"/>
        <w:tabs>
          <w:tab w:val="left" w:pos="426"/>
        </w:tabs>
        <w:spacing w:before="120" w:after="120" w:line="276" w:lineRule="auto"/>
        <w:ind w:left="284" w:firstLine="0"/>
        <w:rPr>
          <w:rFonts w:eastAsia="Calibri"/>
          <w:bCs/>
          <w:sz w:val="24"/>
          <w:szCs w:val="24"/>
          <w:lang w:val="ro-RO"/>
        </w:rPr>
      </w:pPr>
      <w:r w:rsidRPr="00983B54">
        <w:rPr>
          <w:rFonts w:eastAsia="Calibri"/>
          <w:bCs/>
          <w:sz w:val="24"/>
          <w:szCs w:val="24"/>
          <w:lang w:val="ro-RO"/>
        </w:rPr>
        <w:t>800. Dacă solicitantul consideră neîntemeiat refuzul de înregistrare în calitate de participant la POCB sau la PZU și PI, acesta este în drept să solicite examinarea refuzului OPEE de către Agenție. Solicitarea este examinată de Agenție conform prevederilor Codului administrativ, ținând cont de cerinț</w:t>
      </w:r>
      <w:r>
        <w:rPr>
          <w:rFonts w:eastAsia="Calibri"/>
          <w:bCs/>
          <w:sz w:val="24"/>
          <w:szCs w:val="24"/>
          <w:lang w:val="ro-RO"/>
        </w:rPr>
        <w:t>ele Legii cu privire la energia</w:t>
      </w:r>
      <w:r w:rsidRPr="00983B54">
        <w:rPr>
          <w:rFonts w:eastAsia="Calibri"/>
          <w:bCs/>
          <w:sz w:val="24"/>
          <w:szCs w:val="24"/>
          <w:lang w:val="ro-RO"/>
        </w:rPr>
        <w:t xml:space="preserve"> electrică</w:t>
      </w:r>
      <w:r>
        <w:rPr>
          <w:rFonts w:eastAsia="Calibri"/>
          <w:bCs/>
          <w:sz w:val="24"/>
          <w:szCs w:val="24"/>
          <w:lang w:val="ro-RO"/>
        </w:rPr>
        <w:t>.</w:t>
      </w:r>
    </w:p>
    <w:p w14:paraId="6BF0BD9C" w14:textId="240B32A6" w:rsidR="00093102" w:rsidRDefault="0066519C"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801. </w:t>
      </w:r>
      <w:r w:rsidRPr="0066519C">
        <w:rPr>
          <w:rFonts w:eastAsia="Calibri"/>
          <w:bCs/>
          <w:sz w:val="24"/>
          <w:szCs w:val="24"/>
          <w:lang w:val="ro-RO"/>
        </w:rPr>
        <w:t>Înregistrarea ca participant la POCB sau la PZU și PI devine efectivă începând cu data intrării în vigoare a contractului de participare la POCB sau la PZU și PI, după caz, dar nu mai devreme de 5 zile lucrătoare din momentul semnării contractului.</w:t>
      </w:r>
    </w:p>
    <w:p w14:paraId="58A16FF1" w14:textId="27278324" w:rsidR="00EA3544" w:rsidRDefault="006C6EB2"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802. Un participant la POCB/PZU și </w:t>
      </w:r>
      <w:r w:rsidR="00F629B3" w:rsidRPr="00F629B3">
        <w:rPr>
          <w:rFonts w:eastAsia="Calibri"/>
          <w:bCs/>
          <w:sz w:val="24"/>
          <w:szCs w:val="24"/>
          <w:lang w:val="ro-RO"/>
        </w:rPr>
        <w:t>PI se poate retrage din pr</w:t>
      </w:r>
      <w:r>
        <w:rPr>
          <w:rFonts w:eastAsia="Calibri"/>
          <w:bCs/>
          <w:sz w:val="24"/>
          <w:szCs w:val="24"/>
          <w:lang w:val="ro-RO"/>
        </w:rPr>
        <w:t xml:space="preserve">oprie inițiativă de la POCB/PZU și </w:t>
      </w:r>
      <w:r w:rsidR="00F629B3" w:rsidRPr="00F629B3">
        <w:rPr>
          <w:rFonts w:eastAsia="Calibri"/>
          <w:bCs/>
          <w:sz w:val="24"/>
          <w:szCs w:val="24"/>
          <w:lang w:val="ro-RO"/>
        </w:rPr>
        <w:t>PI, după caz, în baza unei înștiințări în scris, transmisă cu cel puțin o 5 zile lucrătoare înaintea datei la care calit</w:t>
      </w:r>
      <w:r>
        <w:rPr>
          <w:rFonts w:eastAsia="Calibri"/>
          <w:bCs/>
          <w:sz w:val="24"/>
          <w:szCs w:val="24"/>
          <w:lang w:val="ro-RO"/>
        </w:rPr>
        <w:t xml:space="preserve">atea de participant la POCB/PZU și </w:t>
      </w:r>
      <w:r w:rsidR="00F629B3" w:rsidRPr="00F629B3">
        <w:rPr>
          <w:rFonts w:eastAsia="Calibri"/>
          <w:bCs/>
          <w:sz w:val="24"/>
          <w:szCs w:val="24"/>
          <w:lang w:val="ro-RO"/>
        </w:rPr>
        <w:t>PI urmează să fie anulată. După primirea unei astfel de înștiințări, OPEE informează imediat OST și, după caz, responsabilul grupului de echilibrare care și-a asumat responsabilitatea echilibrării pentru respectivul participant la piața de energie electrică.</w:t>
      </w:r>
    </w:p>
    <w:p w14:paraId="389C66A6" w14:textId="5A875D49" w:rsid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803. Înregistrarea, suspendarea și revocarea/retragerea unui participant la POCB sau la PZU și PI, după caz, este realizată conform procedurii privind înregistrarea, suspendarea și revocarea/retragerea participanților la piețele organizate de energie electrică (POCB, PZU și PI), elaborată de OPEE conform pct. 809.</w:t>
      </w:r>
    </w:p>
    <w:p w14:paraId="05ADEFF6" w14:textId="652C8349"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 xml:space="preserve">804. OPEE suspendă înregistrarea unui participant la </w:t>
      </w:r>
      <w:r w:rsidR="006C6EB2">
        <w:rPr>
          <w:rFonts w:eastAsia="Calibri"/>
          <w:bCs/>
          <w:sz w:val="24"/>
          <w:szCs w:val="24"/>
          <w:lang w:val="ro-RO"/>
        </w:rPr>
        <w:t xml:space="preserve">POCB și/sau la PZU și </w:t>
      </w:r>
      <w:r w:rsidRPr="00E163B1">
        <w:rPr>
          <w:rFonts w:eastAsia="Calibri"/>
          <w:bCs/>
          <w:sz w:val="24"/>
          <w:szCs w:val="24"/>
          <w:lang w:val="ro-RO"/>
        </w:rPr>
        <w:t>PI, după caz, în următoarele cazuri:</w:t>
      </w:r>
    </w:p>
    <w:p w14:paraId="07448AA3" w14:textId="136C97F3"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lastRenderedPageBreak/>
        <w:t xml:space="preserve">1) dacă participantul la POCB </w:t>
      </w:r>
      <w:r w:rsidR="006C6EB2">
        <w:rPr>
          <w:rFonts w:eastAsia="Calibri"/>
          <w:bCs/>
          <w:sz w:val="24"/>
          <w:szCs w:val="24"/>
          <w:lang w:val="ro-RO"/>
        </w:rPr>
        <w:t xml:space="preserve">și/sau la PZU și </w:t>
      </w:r>
      <w:r w:rsidRPr="00E163B1">
        <w:rPr>
          <w:rFonts w:eastAsia="Calibri"/>
          <w:bCs/>
          <w:sz w:val="24"/>
          <w:szCs w:val="24"/>
          <w:lang w:val="ro-RO"/>
        </w:rPr>
        <w:t>PI după caz, nu mai îndeplinește una din condițiile necesare pentru înregistr</w:t>
      </w:r>
      <w:r w:rsidR="006C6EB2">
        <w:rPr>
          <w:rFonts w:eastAsia="Calibri"/>
          <w:bCs/>
          <w:sz w:val="24"/>
          <w:szCs w:val="24"/>
          <w:lang w:val="ro-RO"/>
        </w:rPr>
        <w:t xml:space="preserve">area ca participant la POCB/PZU și </w:t>
      </w:r>
      <w:r w:rsidRPr="00E163B1">
        <w:rPr>
          <w:rFonts w:eastAsia="Calibri"/>
          <w:bCs/>
          <w:sz w:val="24"/>
          <w:szCs w:val="24"/>
          <w:lang w:val="ro-RO"/>
        </w:rPr>
        <w:t xml:space="preserve">PI; </w:t>
      </w:r>
    </w:p>
    <w:p w14:paraId="6B873E7E" w14:textId="467FC961" w:rsidR="00E163B1" w:rsidRP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2)</w:t>
      </w:r>
      <w:r w:rsidR="006C6EB2">
        <w:rPr>
          <w:rFonts w:eastAsia="Calibri"/>
          <w:bCs/>
          <w:sz w:val="24"/>
          <w:szCs w:val="24"/>
          <w:lang w:val="ro-RO"/>
        </w:rPr>
        <w:t xml:space="preserve"> dacă participantul la POCB/PZU și </w:t>
      </w:r>
      <w:r w:rsidRPr="00E163B1">
        <w:rPr>
          <w:rFonts w:eastAsia="Calibri"/>
          <w:bCs/>
          <w:sz w:val="24"/>
          <w:szCs w:val="24"/>
          <w:lang w:val="ro-RO"/>
        </w:rPr>
        <w:t xml:space="preserve">PI nu asigură achitarea plății pentru serviciul de operare a pieței energiei electrice determinată în baza tarifului reglementat pentru serviciul de operare a pieței energiei electrice conform procedurii relevante; </w:t>
      </w:r>
    </w:p>
    <w:p w14:paraId="161295AF" w14:textId="7758DC78" w:rsidR="00E163B1" w:rsidRDefault="00E163B1" w:rsidP="00763749">
      <w:pPr>
        <w:pStyle w:val="ListParagraph"/>
        <w:tabs>
          <w:tab w:val="left" w:pos="426"/>
        </w:tabs>
        <w:spacing w:before="120" w:after="120" w:line="276" w:lineRule="auto"/>
        <w:ind w:left="284" w:firstLine="0"/>
        <w:rPr>
          <w:rFonts w:eastAsia="Calibri"/>
          <w:bCs/>
          <w:sz w:val="24"/>
          <w:szCs w:val="24"/>
          <w:lang w:val="ro-RO"/>
        </w:rPr>
      </w:pPr>
      <w:r w:rsidRPr="00E163B1">
        <w:rPr>
          <w:rFonts w:eastAsia="Calibri"/>
          <w:bCs/>
          <w:sz w:val="24"/>
          <w:szCs w:val="24"/>
          <w:lang w:val="ro-RO"/>
        </w:rPr>
        <w:t>3)</w:t>
      </w:r>
      <w:r w:rsidR="006C6EB2">
        <w:rPr>
          <w:rFonts w:eastAsia="Calibri"/>
          <w:bCs/>
          <w:sz w:val="24"/>
          <w:szCs w:val="24"/>
          <w:lang w:val="ro-RO"/>
        </w:rPr>
        <w:t xml:space="preserve"> dacă participantul la POCB/PZU și </w:t>
      </w:r>
      <w:r w:rsidRPr="00E163B1">
        <w:rPr>
          <w:rFonts w:eastAsia="Calibri"/>
          <w:bCs/>
          <w:sz w:val="24"/>
          <w:szCs w:val="24"/>
          <w:lang w:val="ro-RO"/>
        </w:rPr>
        <w:t>PI este găsit în mod repetat vinovat de nerespectarea regul</w:t>
      </w:r>
      <w:r w:rsidR="006C6EB2">
        <w:rPr>
          <w:rFonts w:eastAsia="Calibri"/>
          <w:bCs/>
          <w:sz w:val="24"/>
          <w:szCs w:val="24"/>
          <w:lang w:val="ro-RO"/>
        </w:rPr>
        <w:t xml:space="preserve">ilor aplicabile pentru POCB/PZU și </w:t>
      </w:r>
      <w:r w:rsidRPr="00E163B1">
        <w:rPr>
          <w:rFonts w:eastAsia="Calibri"/>
          <w:bCs/>
          <w:sz w:val="24"/>
          <w:szCs w:val="24"/>
          <w:lang w:val="ro-RO"/>
        </w:rPr>
        <w:t>PI sau decontării.</w:t>
      </w:r>
    </w:p>
    <w:p w14:paraId="3416AC84" w14:textId="3D74E463" w:rsidR="00E163B1" w:rsidRDefault="003A282D"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805. </w:t>
      </w:r>
      <w:r w:rsidRPr="003A282D">
        <w:rPr>
          <w:rFonts w:eastAsia="Calibri"/>
          <w:bCs/>
          <w:sz w:val="24"/>
          <w:szCs w:val="24"/>
          <w:lang w:val="ro-RO"/>
        </w:rPr>
        <w:t>OPEE suspendă înregistrar</w:t>
      </w:r>
      <w:r w:rsidR="006C6EB2">
        <w:rPr>
          <w:rFonts w:eastAsia="Calibri"/>
          <w:bCs/>
          <w:sz w:val="24"/>
          <w:szCs w:val="24"/>
          <w:lang w:val="ro-RO"/>
        </w:rPr>
        <w:t xml:space="preserve">ea unui participant la POCB/PZU și </w:t>
      </w:r>
      <w:r w:rsidRPr="003A282D">
        <w:rPr>
          <w:rFonts w:eastAsia="Calibri"/>
          <w:bCs/>
          <w:sz w:val="24"/>
          <w:szCs w:val="24"/>
          <w:lang w:val="ro-RO"/>
        </w:rPr>
        <w:t>PI odată cu constatarea încălcării prevederilor procedurii de înregistrare, suspendare, retragere, revocare a participanților la piețele de energie electrică, pentru perioadele menționate în procedura de înregistrare, procedura care include și condițiile de ridicare a suspendării. OPEE transm</w:t>
      </w:r>
      <w:r w:rsidR="006C6EB2">
        <w:rPr>
          <w:rFonts w:eastAsia="Calibri"/>
          <w:bCs/>
          <w:sz w:val="24"/>
          <w:szCs w:val="24"/>
          <w:lang w:val="ro-RO"/>
        </w:rPr>
        <w:t xml:space="preserve">ite participantului la POCB/PZU și </w:t>
      </w:r>
      <w:r w:rsidRPr="003A282D">
        <w:rPr>
          <w:rFonts w:eastAsia="Calibri"/>
          <w:bCs/>
          <w:sz w:val="24"/>
          <w:szCs w:val="24"/>
          <w:lang w:val="ro-RO"/>
        </w:rPr>
        <w:t>PI în cauză, OST și Agenției notificare cu specificarea motivelor suspendării și a datei intrării în vigoare a acesteia, precum și notificare privind ridicarea suspendării, după caz</w:t>
      </w:r>
      <w:r>
        <w:rPr>
          <w:rFonts w:eastAsia="Calibri"/>
          <w:bCs/>
          <w:sz w:val="24"/>
          <w:szCs w:val="24"/>
          <w:lang w:val="ro-RO"/>
        </w:rPr>
        <w:t>.</w:t>
      </w:r>
    </w:p>
    <w:p w14:paraId="2B60C69A" w14:textId="6F3BE31C"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806. OPEE revocă înregistrar</w:t>
      </w:r>
      <w:r w:rsidR="006C6EB2">
        <w:rPr>
          <w:rFonts w:eastAsia="Calibri"/>
          <w:bCs/>
          <w:sz w:val="24"/>
          <w:szCs w:val="24"/>
          <w:lang w:val="ro-RO"/>
        </w:rPr>
        <w:t xml:space="preserve">ea unui participant la POCB/PZU și </w:t>
      </w:r>
      <w:r w:rsidRPr="00E11E9C">
        <w:rPr>
          <w:rFonts w:eastAsia="Calibri"/>
          <w:bCs/>
          <w:sz w:val="24"/>
          <w:szCs w:val="24"/>
          <w:lang w:val="ro-RO"/>
        </w:rPr>
        <w:t>PI, transmițând o notificare corespunzătoare cu cinci zile lucrătoare înainte de momentul intrării în vigoare, dacă acesta nu a înlăturat cauzele care au condus la suspendarea sa în decursul perioadei specificate de OPEE conform prevederilor pct. 805.</w:t>
      </w:r>
    </w:p>
    <w:p w14:paraId="0E588FE1" w14:textId="394BA081"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807. Înregistr</w:t>
      </w:r>
      <w:r w:rsidR="006C6EB2">
        <w:rPr>
          <w:rFonts w:eastAsia="Calibri"/>
          <w:bCs/>
          <w:sz w:val="24"/>
          <w:szCs w:val="24"/>
          <w:lang w:val="ro-RO"/>
        </w:rPr>
        <w:t xml:space="preserve">area ca participant la POCB/PZU și </w:t>
      </w:r>
      <w:r w:rsidRPr="00E11E9C">
        <w:rPr>
          <w:rFonts w:eastAsia="Calibri"/>
          <w:bCs/>
          <w:sz w:val="24"/>
          <w:szCs w:val="24"/>
          <w:lang w:val="ro-RO"/>
        </w:rPr>
        <w:t>PI este revocată automat, cu efect imediat odată ce OPEE ia cunoștință, în cazul în care licența participantului în cauză a fost retrasă. Agenția informează OPEE despre retragerea licenței unui participant la P</w:t>
      </w:r>
      <w:r w:rsidR="006C6EB2">
        <w:rPr>
          <w:rFonts w:eastAsia="Calibri"/>
          <w:bCs/>
          <w:sz w:val="24"/>
          <w:szCs w:val="24"/>
          <w:lang w:val="ro-RO"/>
        </w:rPr>
        <w:t xml:space="preserve">OCB/PZU și </w:t>
      </w:r>
      <w:r w:rsidRPr="00E11E9C">
        <w:rPr>
          <w:rFonts w:eastAsia="Calibri"/>
          <w:bCs/>
          <w:sz w:val="24"/>
          <w:szCs w:val="24"/>
          <w:lang w:val="ro-RO"/>
        </w:rPr>
        <w:t>PI în termen de 3 zile lucrătoare.</w:t>
      </w:r>
    </w:p>
    <w:p w14:paraId="5E3A5A44" w14:textId="1B8A48EC" w:rsidR="00E11E9C" w:rsidRP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 xml:space="preserve">808. </w:t>
      </w:r>
      <w:r w:rsidR="0072075F">
        <w:rPr>
          <w:rFonts w:eastAsia="Calibri"/>
          <w:bCs/>
          <w:sz w:val="24"/>
          <w:szCs w:val="24"/>
          <w:lang w:val="ro-RO"/>
        </w:rPr>
        <w:t xml:space="preserve">Dacă un participant la POCB/PZU și </w:t>
      </w:r>
      <w:r w:rsidRPr="00E11E9C">
        <w:rPr>
          <w:rFonts w:eastAsia="Calibri"/>
          <w:bCs/>
          <w:sz w:val="24"/>
          <w:szCs w:val="24"/>
          <w:lang w:val="ro-RO"/>
        </w:rPr>
        <w:t>PI renu</w:t>
      </w:r>
      <w:r w:rsidR="0072075F">
        <w:rPr>
          <w:rFonts w:eastAsia="Calibri"/>
          <w:bCs/>
          <w:sz w:val="24"/>
          <w:szCs w:val="24"/>
          <w:lang w:val="ro-RO"/>
        </w:rPr>
        <w:t xml:space="preserve">nță la participarea pe POCB/PZU și </w:t>
      </w:r>
      <w:r w:rsidRPr="00E11E9C">
        <w:rPr>
          <w:rFonts w:eastAsia="Calibri"/>
          <w:bCs/>
          <w:sz w:val="24"/>
          <w:szCs w:val="24"/>
          <w:lang w:val="ro-RO"/>
        </w:rPr>
        <w:t>PI conform pct. 802 sau dacă înregistrar</w:t>
      </w:r>
      <w:r w:rsidR="0072075F">
        <w:rPr>
          <w:rFonts w:eastAsia="Calibri"/>
          <w:bCs/>
          <w:sz w:val="24"/>
          <w:szCs w:val="24"/>
          <w:lang w:val="ro-RO"/>
        </w:rPr>
        <w:t xml:space="preserve">ea unui participant la POCB/PZU și </w:t>
      </w:r>
      <w:r w:rsidRPr="00E11E9C">
        <w:rPr>
          <w:rFonts w:eastAsia="Calibri"/>
          <w:bCs/>
          <w:sz w:val="24"/>
          <w:szCs w:val="24"/>
          <w:lang w:val="ro-RO"/>
        </w:rPr>
        <w:t>PI este suspendată, sau revocată de OPEE conform prevederilor prezentei secțiuni:</w:t>
      </w:r>
    </w:p>
    <w:p w14:paraId="7FA5CCB9" w14:textId="4A0D36B5" w:rsidR="00E11E9C" w:rsidRPr="00E11E9C" w:rsidRDefault="0072075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1) participantul la POCB/PZU și </w:t>
      </w:r>
      <w:r w:rsidR="00E11E9C" w:rsidRPr="00E11E9C">
        <w:rPr>
          <w:rFonts w:eastAsia="Calibri"/>
          <w:bCs/>
          <w:sz w:val="24"/>
          <w:szCs w:val="24"/>
          <w:lang w:val="ro-RO"/>
        </w:rPr>
        <w:t>PI nu mai are dreptul să t</w:t>
      </w:r>
      <w:r>
        <w:rPr>
          <w:rFonts w:eastAsia="Calibri"/>
          <w:bCs/>
          <w:sz w:val="24"/>
          <w:szCs w:val="24"/>
          <w:lang w:val="ro-RO"/>
        </w:rPr>
        <w:t xml:space="preserve">ransmită noi oferte pe POCB/PZU și </w:t>
      </w:r>
      <w:r w:rsidR="00E11E9C" w:rsidRPr="00E11E9C">
        <w:rPr>
          <w:rFonts w:eastAsia="Calibri"/>
          <w:bCs/>
          <w:sz w:val="24"/>
          <w:szCs w:val="24"/>
          <w:lang w:val="ro-RO"/>
        </w:rPr>
        <w:t>PI și toate ofertele validate ale acestuia se consideră anulate;</w:t>
      </w:r>
    </w:p>
    <w:p w14:paraId="16ABD63D" w14:textId="3E5CF2BA" w:rsidR="00E11E9C" w:rsidRPr="00E11E9C" w:rsidRDefault="0072075F" w:rsidP="00763749">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 xml:space="preserve">2) participantul la POCB/PZU și </w:t>
      </w:r>
      <w:r w:rsidR="00E11E9C" w:rsidRPr="00E11E9C">
        <w:rPr>
          <w:rFonts w:eastAsia="Calibri"/>
          <w:bCs/>
          <w:sz w:val="24"/>
          <w:szCs w:val="24"/>
          <w:lang w:val="ro-RO"/>
        </w:rPr>
        <w:t>PI trebuie să efectueze toate plățile datorate în conformitate cu prevederile Titlului XII;</w:t>
      </w:r>
    </w:p>
    <w:p w14:paraId="5907AD8C" w14:textId="1C96C1C0" w:rsidR="00E11E9C" w:rsidRDefault="00E11E9C" w:rsidP="00763749">
      <w:pPr>
        <w:pStyle w:val="ListParagraph"/>
        <w:tabs>
          <w:tab w:val="left" w:pos="426"/>
        </w:tabs>
        <w:spacing w:before="120" w:after="120" w:line="276" w:lineRule="auto"/>
        <w:ind w:left="284" w:firstLine="0"/>
        <w:rPr>
          <w:rFonts w:eastAsia="Calibri"/>
          <w:bCs/>
          <w:sz w:val="24"/>
          <w:szCs w:val="24"/>
          <w:lang w:val="ro-RO"/>
        </w:rPr>
      </w:pPr>
      <w:r w:rsidRPr="00E11E9C">
        <w:rPr>
          <w:rFonts w:eastAsia="Calibri"/>
          <w:bCs/>
          <w:sz w:val="24"/>
          <w:szCs w:val="24"/>
          <w:lang w:val="ro-RO"/>
        </w:rPr>
        <w:t xml:space="preserve">3) în cazul retragerii </w:t>
      </w:r>
      <w:r w:rsidR="0072075F">
        <w:rPr>
          <w:rFonts w:eastAsia="Calibri"/>
          <w:bCs/>
          <w:sz w:val="24"/>
          <w:szCs w:val="24"/>
          <w:lang w:val="ro-RO"/>
        </w:rPr>
        <w:t>sau revocării unui participant</w:t>
      </w:r>
      <w:r w:rsidRPr="00E11E9C">
        <w:rPr>
          <w:rFonts w:eastAsia="Calibri"/>
          <w:bCs/>
          <w:sz w:val="24"/>
          <w:szCs w:val="24"/>
          <w:lang w:val="ro-RO"/>
        </w:rPr>
        <w:t>, OPEE anulează înregistrarea acestuia în Registrul de tranzacționare, informând participantul, OST și, după caz, responsabilul grupului de echilibrare care și-a asumat responsabilitatea echilibrării pentru respectivul participant</w:t>
      </w:r>
      <w:r w:rsidR="0072075F">
        <w:rPr>
          <w:rFonts w:eastAsia="Calibri"/>
          <w:bCs/>
          <w:sz w:val="24"/>
          <w:szCs w:val="24"/>
          <w:lang w:val="ro-RO"/>
        </w:rPr>
        <w:t xml:space="preserve">; </w:t>
      </w:r>
      <w:r w:rsidR="0072075F" w:rsidRPr="0072075F">
        <w:rPr>
          <w:rFonts w:eastAsia="Calibri"/>
          <w:bCs/>
          <w:sz w:val="24"/>
          <w:szCs w:val="24"/>
          <w:lang w:val="ro-RO"/>
        </w:rPr>
        <w:t>participantul retras/revocat de la POCB/PZU și PI este obligat să efectueze t</w:t>
      </w:r>
      <w:r w:rsidR="0072075F">
        <w:rPr>
          <w:rFonts w:eastAsia="Calibri"/>
          <w:bCs/>
          <w:sz w:val="24"/>
          <w:szCs w:val="24"/>
          <w:lang w:val="ro-RO"/>
        </w:rPr>
        <w:t>oate plățile datorate către OPEE.</w:t>
      </w:r>
    </w:p>
    <w:p w14:paraId="1FECEFEB" w14:textId="5D11CCB9" w:rsidR="00C85293" w:rsidRDefault="00C85293" w:rsidP="00763749">
      <w:pPr>
        <w:pStyle w:val="ListParagraph"/>
        <w:tabs>
          <w:tab w:val="left" w:pos="426"/>
        </w:tabs>
        <w:spacing w:before="120" w:after="120" w:line="276" w:lineRule="auto"/>
        <w:ind w:left="284" w:firstLine="0"/>
        <w:rPr>
          <w:rFonts w:eastAsia="Calibri"/>
          <w:bCs/>
          <w:sz w:val="24"/>
          <w:szCs w:val="24"/>
          <w:lang w:val="ro-RO"/>
        </w:rPr>
      </w:pPr>
      <w:r w:rsidRPr="00C85293">
        <w:rPr>
          <w:rFonts w:eastAsia="Calibri"/>
          <w:bCs/>
          <w:sz w:val="24"/>
          <w:szCs w:val="24"/>
          <w:lang w:val="ro-RO"/>
        </w:rPr>
        <w:t>809. OPEE elaborează și consultă public procedura privind înregistrarea, suspendarea și revocarea/retragerea participanților la piețele organizate de energie electrică POCB, PZU și PI și o aprobă după avizarea acesteia de către Agenție.</w:t>
      </w:r>
      <w:r w:rsidR="000F58B5">
        <w:rPr>
          <w:rFonts w:eastAsia="Calibri"/>
          <w:bCs/>
          <w:sz w:val="24"/>
          <w:szCs w:val="24"/>
          <w:lang w:val="ro-RO"/>
        </w:rPr>
        <w:t>”</w:t>
      </w:r>
    </w:p>
    <w:p w14:paraId="32796823" w14:textId="78352FF8" w:rsidR="000F58B5" w:rsidRDefault="000F58B5"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 xml:space="preserve">Punctele 811 și 812 se expun în redacția următoare: </w:t>
      </w:r>
    </w:p>
    <w:p w14:paraId="6504C012" w14:textId="2EF3D8F0" w:rsidR="00331570" w:rsidRPr="00331570" w:rsidRDefault="000F58B5" w:rsidP="00331570">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00331570">
        <w:rPr>
          <w:rFonts w:eastAsia="Calibri"/>
          <w:bCs/>
          <w:sz w:val="24"/>
          <w:szCs w:val="24"/>
          <w:lang w:val="ro-RO"/>
        </w:rPr>
        <w:t xml:space="preserve">811. </w:t>
      </w:r>
      <w:r w:rsidR="00331570" w:rsidRPr="00331570">
        <w:rPr>
          <w:rFonts w:eastAsia="Calibri"/>
          <w:bCs/>
          <w:sz w:val="24"/>
          <w:szCs w:val="24"/>
          <w:lang w:val="ro-RO"/>
        </w:rPr>
        <w:t>OPEE înregistr</w:t>
      </w:r>
      <w:r w:rsidR="00BC782A">
        <w:rPr>
          <w:rFonts w:eastAsia="Calibri"/>
          <w:bCs/>
          <w:sz w:val="24"/>
          <w:szCs w:val="24"/>
          <w:lang w:val="ro-RO"/>
        </w:rPr>
        <w:t xml:space="preserve">ează participanții la POCB/ PZU și </w:t>
      </w:r>
      <w:r w:rsidR="00331570" w:rsidRPr="00331570">
        <w:rPr>
          <w:rFonts w:eastAsia="Calibri"/>
          <w:bCs/>
          <w:sz w:val="24"/>
          <w:szCs w:val="24"/>
          <w:lang w:val="ro-RO"/>
        </w:rPr>
        <w:t xml:space="preserve">PI în registrul de tranzacționare. Acesta trebuie să conțină pentru </w:t>
      </w:r>
      <w:r w:rsidR="00BC782A">
        <w:rPr>
          <w:rFonts w:eastAsia="Calibri"/>
          <w:bCs/>
          <w:sz w:val="24"/>
          <w:szCs w:val="24"/>
          <w:lang w:val="ro-RO"/>
        </w:rPr>
        <w:t xml:space="preserve">fiecare participant la POCB/PZU și </w:t>
      </w:r>
      <w:r w:rsidR="00331570" w:rsidRPr="00331570">
        <w:rPr>
          <w:rFonts w:eastAsia="Calibri"/>
          <w:bCs/>
          <w:sz w:val="24"/>
          <w:szCs w:val="24"/>
          <w:lang w:val="ro-RO"/>
        </w:rPr>
        <w:t xml:space="preserve">PI, cel puțin următoarele date: </w:t>
      </w:r>
    </w:p>
    <w:p w14:paraId="02494F4E"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 xml:space="preserve">1) denumirea, adresa juridică și datele de contact; </w:t>
      </w:r>
    </w:p>
    <w:p w14:paraId="517411DE"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 xml:space="preserve">2) data și numărul contractului de participare la PZU și PI; </w:t>
      </w:r>
    </w:p>
    <w:p w14:paraId="6CDE43C5"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2</w:t>
      </w:r>
      <w:r w:rsidRPr="00735C54">
        <w:rPr>
          <w:rFonts w:eastAsia="Calibri"/>
          <w:bCs/>
          <w:sz w:val="24"/>
          <w:szCs w:val="24"/>
          <w:vertAlign w:val="superscript"/>
          <w:lang w:val="ro-RO"/>
        </w:rPr>
        <w:t>1</w:t>
      </w:r>
      <w:r w:rsidRPr="00331570">
        <w:rPr>
          <w:rFonts w:eastAsia="Calibri"/>
          <w:bCs/>
          <w:sz w:val="24"/>
          <w:szCs w:val="24"/>
          <w:lang w:val="ro-RO"/>
        </w:rPr>
        <w:t xml:space="preserve">) data și numărul contractului de participare POCB; </w:t>
      </w:r>
    </w:p>
    <w:p w14:paraId="25DAD068"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 xml:space="preserve">3) codul de identificare pe PZU și PI; </w:t>
      </w:r>
    </w:p>
    <w:p w14:paraId="5679F8BA" w14:textId="77777777"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 xml:space="preserve">31) codul de identificare pe POCB; </w:t>
      </w:r>
    </w:p>
    <w:p w14:paraId="2047D455" w14:textId="132AC526"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4) numele și date de contact ale persoanelor delegate să acționeze în numel</w:t>
      </w:r>
      <w:r>
        <w:rPr>
          <w:rFonts w:eastAsia="Calibri"/>
          <w:bCs/>
          <w:sz w:val="24"/>
          <w:szCs w:val="24"/>
          <w:lang w:val="ro-RO"/>
        </w:rPr>
        <w:t>e participantului la POCB/PZU</w:t>
      </w:r>
      <w:r w:rsidRPr="00331570">
        <w:rPr>
          <w:rFonts w:eastAsia="Calibri"/>
          <w:bCs/>
          <w:sz w:val="24"/>
          <w:szCs w:val="24"/>
          <w:lang w:val="ro-RO"/>
        </w:rPr>
        <w:t xml:space="preserve"> și PI; </w:t>
      </w:r>
    </w:p>
    <w:p w14:paraId="7EA995C5" w14:textId="5A26403A" w:rsidR="00331570" w:rsidRPr="00331570" w:rsidRDefault="00331570" w:rsidP="00331570">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lastRenderedPageBreak/>
        <w:t>5) numele, date de contact și codul de identificare al responsabilului grupului de echilibrare care și-a asumat responsabilitatea echilibrării pentru resp</w:t>
      </w:r>
      <w:r w:rsidR="00BC782A">
        <w:rPr>
          <w:rFonts w:eastAsia="Calibri"/>
          <w:bCs/>
          <w:sz w:val="24"/>
          <w:szCs w:val="24"/>
          <w:lang w:val="ro-RO"/>
        </w:rPr>
        <w:t xml:space="preserve">ectivul participant la POCB/PZU și </w:t>
      </w:r>
      <w:r w:rsidRPr="00331570">
        <w:rPr>
          <w:rFonts w:eastAsia="Calibri"/>
          <w:bCs/>
          <w:sz w:val="24"/>
          <w:szCs w:val="24"/>
          <w:lang w:val="ro-RO"/>
        </w:rPr>
        <w:t xml:space="preserve">PI după caz; </w:t>
      </w:r>
    </w:p>
    <w:p w14:paraId="2B7E23BF" w14:textId="5AA9E17C" w:rsidR="000F58B5" w:rsidRDefault="00331570" w:rsidP="00735C54">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6) codul EIC.</w:t>
      </w:r>
    </w:p>
    <w:p w14:paraId="423C32C8" w14:textId="0F4C23EB" w:rsidR="00331570" w:rsidRDefault="00331570" w:rsidP="00735C54">
      <w:pPr>
        <w:pStyle w:val="ListParagraph"/>
        <w:tabs>
          <w:tab w:val="left" w:pos="426"/>
        </w:tabs>
        <w:spacing w:before="120" w:after="120" w:line="276" w:lineRule="auto"/>
        <w:ind w:left="284" w:firstLine="0"/>
        <w:rPr>
          <w:rFonts w:eastAsia="Calibri"/>
          <w:bCs/>
          <w:sz w:val="24"/>
          <w:szCs w:val="24"/>
          <w:lang w:val="ro-RO"/>
        </w:rPr>
      </w:pPr>
      <w:r w:rsidRPr="00331570">
        <w:rPr>
          <w:rFonts w:eastAsia="Calibri"/>
          <w:bCs/>
          <w:sz w:val="24"/>
          <w:szCs w:val="24"/>
          <w:lang w:val="ro-RO"/>
        </w:rPr>
        <w:t>812. Fiecare participant la POCB sau la PZU și PI are dreptul să consulte informațiile din registrul de tranzacționare care îl privesc și să solicite corectarea oricărei inexactități.</w:t>
      </w:r>
      <w:r>
        <w:rPr>
          <w:rFonts w:eastAsia="Calibri"/>
          <w:bCs/>
          <w:sz w:val="24"/>
          <w:szCs w:val="24"/>
          <w:lang w:val="ro-RO"/>
        </w:rPr>
        <w:t>”;</w:t>
      </w:r>
    </w:p>
    <w:p w14:paraId="0CE31C83" w14:textId="68A72D9F" w:rsidR="00543A23" w:rsidRDefault="00543A23"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Denumirea Secțiunii V a Capitolului V din Titlul XIV</w:t>
      </w:r>
      <w:r w:rsidR="00AF4A8F">
        <w:rPr>
          <w:rFonts w:eastAsia="Calibri"/>
          <w:bCs/>
          <w:sz w:val="24"/>
          <w:szCs w:val="24"/>
          <w:lang w:val="ro-RO"/>
        </w:rPr>
        <w:t xml:space="preserve"> se</w:t>
      </w:r>
      <w:r>
        <w:rPr>
          <w:rFonts w:eastAsia="Calibri"/>
          <w:bCs/>
          <w:sz w:val="24"/>
          <w:szCs w:val="24"/>
          <w:lang w:val="ro-RO"/>
        </w:rPr>
        <w:t xml:space="preserve"> expune în redacția următoare:</w:t>
      </w:r>
      <w:r w:rsidR="00AF4A8F">
        <w:rPr>
          <w:rFonts w:eastAsia="Calibri"/>
          <w:bCs/>
          <w:sz w:val="24"/>
          <w:szCs w:val="24"/>
          <w:lang w:val="ro-RO"/>
        </w:rPr>
        <w:t xml:space="preserve"> „</w:t>
      </w:r>
      <w:r w:rsidR="00AF4A8F" w:rsidRPr="00AF4A8F">
        <w:rPr>
          <w:rFonts w:eastAsia="Calibri"/>
          <w:bCs/>
          <w:sz w:val="24"/>
          <w:szCs w:val="24"/>
          <w:lang w:val="ro-RO"/>
        </w:rPr>
        <w:t>Limitarea responsabilității OPEE pe POCB/PZU/PI</w:t>
      </w:r>
      <w:r w:rsidR="00AF4A8F">
        <w:rPr>
          <w:rFonts w:eastAsia="Calibri"/>
          <w:bCs/>
          <w:sz w:val="24"/>
          <w:szCs w:val="24"/>
          <w:lang w:val="ro-RO"/>
        </w:rPr>
        <w:t>”</w:t>
      </w:r>
      <w:r w:rsidR="002F598C">
        <w:rPr>
          <w:rFonts w:eastAsia="Calibri"/>
          <w:bCs/>
          <w:sz w:val="24"/>
          <w:szCs w:val="24"/>
          <w:lang w:val="ro-RO"/>
        </w:rPr>
        <w:t>;</w:t>
      </w:r>
    </w:p>
    <w:p w14:paraId="31E9CBE1" w14:textId="77777777" w:rsidR="009176F8" w:rsidRDefault="009176F8" w:rsidP="00735C54">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Punctul 813 se expune în redacția următoare:</w:t>
      </w:r>
    </w:p>
    <w:p w14:paraId="3CE29954" w14:textId="00A8DB68" w:rsidR="009176F8" w:rsidRPr="00735C54" w:rsidRDefault="009176F8" w:rsidP="00F7342A">
      <w:pPr>
        <w:pStyle w:val="ListParagraph"/>
        <w:tabs>
          <w:tab w:val="left" w:pos="426"/>
        </w:tabs>
        <w:spacing w:before="120" w:after="120" w:line="276" w:lineRule="auto"/>
        <w:ind w:left="426" w:firstLine="0"/>
        <w:rPr>
          <w:rFonts w:eastAsia="Calibri"/>
          <w:bCs/>
          <w:sz w:val="24"/>
          <w:szCs w:val="24"/>
          <w:lang w:val="ro-RO"/>
        </w:rPr>
      </w:pPr>
      <w:r>
        <w:rPr>
          <w:rFonts w:eastAsia="Calibri"/>
          <w:bCs/>
          <w:sz w:val="24"/>
          <w:szCs w:val="24"/>
          <w:lang w:val="ro-RO"/>
        </w:rPr>
        <w:t xml:space="preserve"> „813. </w:t>
      </w:r>
      <w:r w:rsidRPr="009176F8">
        <w:rPr>
          <w:rFonts w:eastAsia="Calibri"/>
          <w:bCs/>
          <w:sz w:val="24"/>
          <w:szCs w:val="24"/>
          <w:lang w:val="ro-RO"/>
        </w:rPr>
        <w:t>Cu excepția cazurilor în care prezentele Reguli, legile aplicabile sau contractul de participare la</w:t>
      </w:r>
      <w:r w:rsidR="00D80C65">
        <w:rPr>
          <w:rFonts w:eastAsia="Calibri"/>
          <w:bCs/>
          <w:sz w:val="24"/>
          <w:szCs w:val="24"/>
          <w:lang w:val="ro-RO"/>
        </w:rPr>
        <w:t xml:space="preserve"> POCB/</w:t>
      </w:r>
      <w:r w:rsidRPr="009176F8">
        <w:rPr>
          <w:rFonts w:eastAsia="Calibri"/>
          <w:bCs/>
          <w:sz w:val="24"/>
          <w:szCs w:val="24"/>
          <w:lang w:val="ro-RO"/>
        </w:rPr>
        <w:t xml:space="preserve">contractul de participare la </w:t>
      </w:r>
      <w:r w:rsidR="00D80C65">
        <w:rPr>
          <w:rFonts w:eastAsia="Calibri"/>
          <w:bCs/>
          <w:sz w:val="24"/>
          <w:szCs w:val="24"/>
          <w:lang w:val="ro-RO"/>
        </w:rPr>
        <w:t xml:space="preserve">PZU și PI </w:t>
      </w:r>
      <w:r w:rsidRPr="009176F8">
        <w:rPr>
          <w:rFonts w:eastAsia="Calibri"/>
          <w:bCs/>
          <w:sz w:val="24"/>
          <w:szCs w:val="24"/>
          <w:lang w:val="ro-RO"/>
        </w:rPr>
        <w:t xml:space="preserve">stipulează diferit, OPEE nu va fi în niciun caz responsabil față de un participant la </w:t>
      </w:r>
      <w:r w:rsidR="00D80C65" w:rsidRPr="009176F8">
        <w:rPr>
          <w:rFonts w:eastAsia="Calibri"/>
          <w:bCs/>
          <w:sz w:val="24"/>
          <w:szCs w:val="24"/>
          <w:lang w:val="ro-RO"/>
        </w:rPr>
        <w:t>POCB</w:t>
      </w:r>
      <w:r w:rsidR="00D80C65">
        <w:rPr>
          <w:rFonts w:eastAsia="Calibri"/>
          <w:bCs/>
          <w:sz w:val="24"/>
          <w:szCs w:val="24"/>
          <w:lang w:val="ro-RO"/>
        </w:rPr>
        <w:t>/PZU și PI</w:t>
      </w:r>
      <w:r w:rsidRPr="009176F8">
        <w:rPr>
          <w:rFonts w:eastAsia="Calibri"/>
          <w:bCs/>
          <w:sz w:val="24"/>
          <w:szCs w:val="24"/>
          <w:lang w:val="ro-RO"/>
        </w:rPr>
        <w:t xml:space="preserve"> pentru nici o pierdere sau pagubă, inclusiv toate daunele directe sau indirecte, consecințe, pierderea oricăror profituri sau întârzieri.</w:t>
      </w:r>
      <w:r>
        <w:rPr>
          <w:rFonts w:eastAsia="Calibri"/>
          <w:bCs/>
          <w:sz w:val="24"/>
          <w:szCs w:val="24"/>
          <w:lang w:val="ro-RO"/>
        </w:rPr>
        <w:t>”;</w:t>
      </w:r>
    </w:p>
    <w:p w14:paraId="64D34123" w14:textId="40A9D40D" w:rsidR="00C22551" w:rsidRDefault="00C22551" w:rsidP="00C22551">
      <w:pPr>
        <w:pStyle w:val="ListParagraph"/>
        <w:numPr>
          <w:ilvl w:val="1"/>
          <w:numId w:val="1"/>
        </w:numPr>
        <w:tabs>
          <w:tab w:val="left" w:pos="426"/>
        </w:tabs>
        <w:spacing w:before="120" w:after="120" w:line="276" w:lineRule="auto"/>
        <w:ind w:hanging="786"/>
        <w:rPr>
          <w:rFonts w:eastAsia="Calibri"/>
          <w:bCs/>
          <w:sz w:val="24"/>
          <w:szCs w:val="24"/>
          <w:lang w:val="ro-RO"/>
        </w:rPr>
      </w:pPr>
      <w:r>
        <w:rPr>
          <w:rFonts w:eastAsia="Calibri"/>
          <w:bCs/>
          <w:sz w:val="24"/>
          <w:szCs w:val="24"/>
          <w:lang w:val="ro-RO"/>
        </w:rPr>
        <w:t>Punctul 816 se expune în redacția următoare:</w:t>
      </w:r>
    </w:p>
    <w:p w14:paraId="60923A4B" w14:textId="0CE45131" w:rsidR="00C22551" w:rsidRDefault="00C22551" w:rsidP="00735C54">
      <w:pPr>
        <w:pStyle w:val="ListParagraph"/>
        <w:tabs>
          <w:tab w:val="left" w:pos="426"/>
        </w:tabs>
        <w:spacing w:before="120" w:after="120" w:line="276" w:lineRule="auto"/>
        <w:ind w:left="284" w:firstLine="0"/>
        <w:rPr>
          <w:rFonts w:eastAsia="Calibri"/>
          <w:bCs/>
          <w:sz w:val="24"/>
          <w:szCs w:val="24"/>
          <w:lang w:val="ro-RO"/>
        </w:rPr>
      </w:pPr>
      <w:r>
        <w:rPr>
          <w:rFonts w:eastAsia="Calibri"/>
          <w:bCs/>
          <w:sz w:val="24"/>
          <w:szCs w:val="24"/>
          <w:lang w:val="ro-RO"/>
        </w:rPr>
        <w:t>„</w:t>
      </w:r>
      <w:r w:rsidRPr="00C22551">
        <w:rPr>
          <w:rFonts w:eastAsia="Calibri"/>
          <w:bCs/>
          <w:sz w:val="24"/>
          <w:szCs w:val="24"/>
          <w:lang w:val="ro-RO"/>
        </w:rPr>
        <w:t>816. OPEE nu este responsabil pentru daunele suferit</w:t>
      </w:r>
      <w:r w:rsidR="002F598C">
        <w:rPr>
          <w:rFonts w:eastAsia="Calibri"/>
          <w:bCs/>
          <w:sz w:val="24"/>
          <w:szCs w:val="24"/>
          <w:lang w:val="ro-RO"/>
        </w:rPr>
        <w:t xml:space="preserve">e de un participant la POCB/PZU și </w:t>
      </w:r>
      <w:r w:rsidRPr="00C22551">
        <w:rPr>
          <w:rFonts w:eastAsia="Calibri"/>
          <w:bCs/>
          <w:sz w:val="24"/>
          <w:szCs w:val="24"/>
          <w:lang w:val="ro-RO"/>
        </w:rPr>
        <w:t>PI ca urmare a unor probleme tehnice sau ca urmare a imposibilității parțiale sau complete de a folosi sistemul de tranzacționare al OPEE sau în cazul întreruperilor în transferul de date, sau ca urmare a erorilor efectuate la introducerea datelor în cadrul decontării și administrării garanțiilor finan</w:t>
      </w:r>
      <w:r w:rsidR="002F598C">
        <w:rPr>
          <w:rFonts w:eastAsia="Calibri"/>
          <w:bCs/>
          <w:sz w:val="24"/>
          <w:szCs w:val="24"/>
          <w:lang w:val="ro-RO"/>
        </w:rPr>
        <w:t xml:space="preserve">ciare a participanților la PZU și </w:t>
      </w:r>
      <w:r w:rsidRPr="00C22551">
        <w:rPr>
          <w:rFonts w:eastAsia="Calibri"/>
          <w:bCs/>
          <w:sz w:val="24"/>
          <w:szCs w:val="24"/>
          <w:lang w:val="ro-RO"/>
        </w:rPr>
        <w:t>PI</w:t>
      </w:r>
      <w:r>
        <w:rPr>
          <w:rFonts w:eastAsia="Calibri"/>
          <w:bCs/>
          <w:sz w:val="24"/>
          <w:szCs w:val="24"/>
          <w:lang w:val="ro-RO"/>
        </w:rPr>
        <w:t>”;</w:t>
      </w:r>
    </w:p>
    <w:p w14:paraId="37D408A4" w14:textId="1F50246D" w:rsidR="00C25247" w:rsidRPr="00536E9E" w:rsidRDefault="00C25247" w:rsidP="00C25247">
      <w:pPr>
        <w:pStyle w:val="ListParagraph"/>
        <w:numPr>
          <w:ilvl w:val="1"/>
          <w:numId w:val="1"/>
        </w:numPr>
        <w:tabs>
          <w:tab w:val="left" w:pos="426"/>
        </w:tabs>
        <w:spacing w:before="120" w:after="120" w:line="276" w:lineRule="auto"/>
        <w:ind w:left="284" w:hanging="307"/>
        <w:rPr>
          <w:rFonts w:eastAsia="Calibri"/>
          <w:bCs/>
          <w:sz w:val="24"/>
          <w:szCs w:val="24"/>
          <w:lang w:val="ro-RO"/>
        </w:rPr>
      </w:pPr>
      <w:r>
        <w:rPr>
          <w:rFonts w:eastAsia="Calibri"/>
          <w:bCs/>
          <w:sz w:val="24"/>
          <w:szCs w:val="24"/>
          <w:lang w:val="ro-RO"/>
        </w:rPr>
        <w:t>Anexa nr. 1 se exclude;</w:t>
      </w:r>
    </w:p>
    <w:p w14:paraId="1AA43587" w14:textId="6C31706C" w:rsidR="008F5F66" w:rsidRDefault="008F5F66" w:rsidP="00F7342A">
      <w:pPr>
        <w:pStyle w:val="ListParagraph"/>
        <w:numPr>
          <w:ilvl w:val="0"/>
          <w:numId w:val="1"/>
        </w:numPr>
        <w:spacing w:after="120"/>
        <w:ind w:left="851" w:hanging="284"/>
        <w:contextualSpacing w:val="0"/>
        <w:rPr>
          <w:rFonts w:eastAsia="Calibri"/>
          <w:bCs/>
          <w:sz w:val="24"/>
          <w:szCs w:val="24"/>
          <w:lang w:val="ro-RO"/>
        </w:rPr>
      </w:pPr>
      <w:r>
        <w:rPr>
          <w:rFonts w:eastAsia="Calibri"/>
          <w:bCs/>
          <w:sz w:val="24"/>
          <w:szCs w:val="24"/>
          <w:lang w:val="ro-RO"/>
        </w:rPr>
        <w:t>Operatorul pieței energiei electrice din Republica Moldova va actualiza și/sau elabora procedurile operaționale proprii în conformitate cu modificările aduse Regulilor pieței energiei electrice, în termen de 2 luni de intrarea în vigoare a prezentei Hotărâri.</w:t>
      </w:r>
    </w:p>
    <w:p w14:paraId="0BDE488E" w14:textId="4361D138" w:rsidR="00F87298" w:rsidRPr="00F87298" w:rsidRDefault="00F87298" w:rsidP="00F87298">
      <w:pPr>
        <w:pStyle w:val="ListParagraph"/>
        <w:numPr>
          <w:ilvl w:val="0"/>
          <w:numId w:val="1"/>
        </w:numPr>
        <w:ind w:left="851" w:hanging="284"/>
        <w:rPr>
          <w:rFonts w:eastAsia="Calibri"/>
          <w:bCs/>
          <w:sz w:val="24"/>
          <w:szCs w:val="24"/>
          <w:lang w:val="ro-RO"/>
        </w:rPr>
      </w:pPr>
      <w:r w:rsidRPr="00F87298">
        <w:rPr>
          <w:rFonts w:eastAsia="Calibri"/>
          <w:bCs/>
          <w:sz w:val="24"/>
          <w:szCs w:val="24"/>
          <w:lang w:val="ro-RO"/>
        </w:rPr>
        <w:t>Prezenta Hotărâre se publică în Monitorul Oficial al Republicii Moldova.</w:t>
      </w:r>
    </w:p>
    <w:p w14:paraId="2A8AF514" w14:textId="6F0820D0" w:rsidR="006D2EB5" w:rsidRPr="0043224D" w:rsidRDefault="00DE4FCA" w:rsidP="00494AB4">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sidRPr="00E03193">
        <w:rPr>
          <w:sz w:val="24"/>
          <w:szCs w:val="24"/>
          <w:lang w:val="ro-MD"/>
        </w:rPr>
        <w:t>Prezenta Hotărâre i</w:t>
      </w:r>
      <w:r w:rsidR="00702D9B" w:rsidRPr="00E03193">
        <w:rPr>
          <w:sz w:val="24"/>
          <w:szCs w:val="24"/>
          <w:lang w:val="ro-MD"/>
        </w:rPr>
        <w:t xml:space="preserve">ntră în vigoare la </w:t>
      </w:r>
      <w:r w:rsidR="00256597" w:rsidRPr="0043224D">
        <w:rPr>
          <w:b/>
          <w:sz w:val="24"/>
          <w:szCs w:val="24"/>
          <w:lang w:val="ro-MD"/>
        </w:rPr>
        <w:t>1 iunie 2026</w:t>
      </w:r>
      <w:r w:rsidR="00702D9B" w:rsidRPr="00E03193">
        <w:rPr>
          <w:sz w:val="24"/>
          <w:szCs w:val="24"/>
          <w:lang w:val="ro-MD"/>
        </w:rPr>
        <w:t>.</w:t>
      </w:r>
    </w:p>
    <w:p w14:paraId="6F1167C7" w14:textId="3B165CDE" w:rsidR="00705BC7" w:rsidRPr="00E03193" w:rsidRDefault="00705BC7" w:rsidP="008E5C22">
      <w:pPr>
        <w:tabs>
          <w:tab w:val="left" w:pos="567"/>
          <w:tab w:val="left" w:pos="851"/>
        </w:tabs>
        <w:spacing w:before="120" w:after="120" w:line="276" w:lineRule="auto"/>
        <w:ind w:firstLine="0"/>
        <w:rPr>
          <w:sz w:val="24"/>
          <w:szCs w:val="24"/>
          <w:lang w:val="ro-RO"/>
        </w:rPr>
      </w:pPr>
    </w:p>
    <w:p w14:paraId="56FD28DE" w14:textId="7925CBB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Alexei TARAN</w:t>
      </w:r>
    </w:p>
    <w:p w14:paraId="4915A91C" w14:textId="480DC2BF"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 general</w:t>
      </w:r>
    </w:p>
    <w:p w14:paraId="52F4F1BA" w14:textId="77777777" w:rsidR="006350D7" w:rsidRPr="00E03193" w:rsidRDefault="006350D7" w:rsidP="006D365D">
      <w:pPr>
        <w:tabs>
          <w:tab w:val="left" w:pos="9356"/>
        </w:tabs>
        <w:ind w:right="425" w:firstLine="0"/>
        <w:rPr>
          <w:rFonts w:eastAsia="Calibri"/>
          <w:b/>
          <w:bCs/>
          <w:sz w:val="24"/>
          <w:szCs w:val="24"/>
          <w:lang w:val="ro-MD"/>
        </w:rPr>
      </w:pPr>
    </w:p>
    <w:p w14:paraId="68D9A3C0"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Constantin BOROSAN</w:t>
      </w:r>
    </w:p>
    <w:p w14:paraId="006BF11E" w14:textId="77777777" w:rsidR="006350D7" w:rsidRPr="00E03193" w:rsidRDefault="006350D7" w:rsidP="006350D7">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5F05768E" w14:textId="77777777" w:rsidR="006D365D" w:rsidRPr="00E03193" w:rsidRDefault="006D365D" w:rsidP="006D365D">
      <w:pPr>
        <w:tabs>
          <w:tab w:val="left" w:pos="9356"/>
        </w:tabs>
        <w:ind w:right="425" w:firstLine="0"/>
        <w:rPr>
          <w:rFonts w:eastAsia="Calibri"/>
          <w:b/>
          <w:bCs/>
          <w:sz w:val="24"/>
          <w:szCs w:val="24"/>
          <w:lang w:val="ro-MD"/>
        </w:rPr>
      </w:pPr>
    </w:p>
    <w:p w14:paraId="6FA20830"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Eugen CARPOV</w:t>
      </w:r>
    </w:p>
    <w:p w14:paraId="36211B24"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2F1AF7BD" w14:textId="77777777" w:rsidR="006D365D" w:rsidRPr="00E03193" w:rsidRDefault="006D365D" w:rsidP="006D365D">
      <w:pPr>
        <w:tabs>
          <w:tab w:val="left" w:pos="9356"/>
        </w:tabs>
        <w:ind w:right="425" w:firstLine="0"/>
        <w:rPr>
          <w:rFonts w:eastAsia="Calibri"/>
          <w:b/>
          <w:bCs/>
          <w:sz w:val="24"/>
          <w:szCs w:val="24"/>
          <w:lang w:val="ro-MD"/>
        </w:rPr>
      </w:pPr>
    </w:p>
    <w:p w14:paraId="389EE853"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Violina ȘPAC</w:t>
      </w:r>
    </w:p>
    <w:p w14:paraId="434389C0" w14:textId="136B99C1"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r w:rsidR="00D8257E" w:rsidRPr="00E03193">
        <w:rPr>
          <w:rFonts w:eastAsia="Calibri"/>
          <w:b/>
          <w:bCs/>
          <w:sz w:val="24"/>
          <w:szCs w:val="24"/>
          <w:lang w:val="ro-MD"/>
        </w:rPr>
        <w:t xml:space="preserve"> </w:t>
      </w:r>
    </w:p>
    <w:p w14:paraId="11085D2D" w14:textId="77777777" w:rsidR="006D365D" w:rsidRPr="00E03193" w:rsidRDefault="006D365D" w:rsidP="006D365D">
      <w:pPr>
        <w:tabs>
          <w:tab w:val="left" w:pos="9356"/>
        </w:tabs>
        <w:ind w:right="425" w:firstLine="0"/>
        <w:rPr>
          <w:rFonts w:eastAsia="Calibri"/>
          <w:b/>
          <w:bCs/>
          <w:sz w:val="24"/>
          <w:szCs w:val="24"/>
          <w:lang w:val="ro-MD"/>
        </w:rPr>
      </w:pPr>
    </w:p>
    <w:p w14:paraId="7F302F86" w14:textId="77777777"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Alexandru URSU</w:t>
      </w:r>
    </w:p>
    <w:p w14:paraId="769C264E" w14:textId="61A297B4" w:rsidR="006D365D" w:rsidRPr="00E03193" w:rsidRDefault="006D365D" w:rsidP="006D365D">
      <w:pPr>
        <w:tabs>
          <w:tab w:val="left" w:pos="9356"/>
        </w:tabs>
        <w:ind w:right="425" w:firstLine="0"/>
        <w:rPr>
          <w:rFonts w:eastAsia="Calibri"/>
          <w:b/>
          <w:bCs/>
          <w:sz w:val="24"/>
          <w:szCs w:val="24"/>
          <w:lang w:val="ro-MD"/>
        </w:rPr>
      </w:pPr>
      <w:r w:rsidRPr="00E03193">
        <w:rPr>
          <w:rFonts w:eastAsia="Calibri"/>
          <w:b/>
          <w:bCs/>
          <w:sz w:val="24"/>
          <w:szCs w:val="24"/>
          <w:lang w:val="ro-MD"/>
        </w:rPr>
        <w:t>Director</w:t>
      </w:r>
    </w:p>
    <w:p w14:paraId="4DE18484" w14:textId="60DBE5B4" w:rsidR="00E03193" w:rsidRPr="00E03193" w:rsidRDefault="00E03193" w:rsidP="006D365D">
      <w:pPr>
        <w:pStyle w:val="ListParagraph"/>
        <w:tabs>
          <w:tab w:val="left" w:pos="567"/>
          <w:tab w:val="left" w:pos="851"/>
        </w:tabs>
        <w:spacing w:line="276" w:lineRule="auto"/>
        <w:ind w:left="0" w:firstLine="0"/>
        <w:contextualSpacing w:val="0"/>
        <w:rPr>
          <w:rFonts w:eastAsia="Calibri"/>
          <w:bCs/>
          <w:sz w:val="24"/>
          <w:szCs w:val="24"/>
          <w:lang w:val="ro-RO"/>
        </w:rPr>
      </w:pPr>
    </w:p>
    <w:sectPr w:rsidR="00E03193" w:rsidRPr="00E03193" w:rsidSect="00735C54">
      <w:pgSz w:w="11906" w:h="16838"/>
      <w:pgMar w:top="1134" w:right="567" w:bottom="1135"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45FD2B" w16cex:dateUtc="2025-08-06T10:21:00Z"/>
  <w16cex:commentExtensible w16cex:durableId="4DA3867C" w16cex:dateUtc="2025-08-06T10:22:00Z"/>
  <w16cex:commentExtensible w16cex:durableId="3D5BAB4B" w16cex:dateUtc="2025-08-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36A0E" w16cid:durableId="0A45FD2B"/>
  <w16cid:commentId w16cid:paraId="2A037F6B" w16cid:durableId="4DA3867C"/>
  <w16cid:commentId w16cid:paraId="64C9EE14" w16cid:durableId="3D5BA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8C89A" w14:textId="77777777" w:rsidR="007139A3" w:rsidRDefault="007139A3" w:rsidP="00B442B8">
      <w:r>
        <w:separator/>
      </w:r>
    </w:p>
  </w:endnote>
  <w:endnote w:type="continuationSeparator" w:id="0">
    <w:p w14:paraId="12C79C9D" w14:textId="77777777" w:rsidR="007139A3" w:rsidRDefault="007139A3"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AD66" w14:textId="77777777" w:rsidR="007139A3" w:rsidRDefault="007139A3" w:rsidP="00B442B8">
      <w:r>
        <w:separator/>
      </w:r>
    </w:p>
  </w:footnote>
  <w:footnote w:type="continuationSeparator" w:id="0">
    <w:p w14:paraId="764D6BC8" w14:textId="77777777" w:rsidR="007139A3" w:rsidRDefault="007139A3" w:rsidP="00B4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F0728"/>
    <w:multiLevelType w:val="hybridMultilevel"/>
    <w:tmpl w:val="5FE43BBC"/>
    <w:lvl w:ilvl="0" w:tplc="041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5D3"/>
    <w:multiLevelType w:val="hybridMultilevel"/>
    <w:tmpl w:val="E1F051B4"/>
    <w:lvl w:ilvl="0" w:tplc="603C6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0E6A20"/>
    <w:multiLevelType w:val="hybridMultilevel"/>
    <w:tmpl w:val="2AA44274"/>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15E63B72"/>
    <w:multiLevelType w:val="hybridMultilevel"/>
    <w:tmpl w:val="792041F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4" w15:restartNumberingAfterBreak="0">
    <w:nsid w:val="18F81A96"/>
    <w:multiLevelType w:val="multilevel"/>
    <w:tmpl w:val="8CF897A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66405E"/>
    <w:multiLevelType w:val="hybridMultilevel"/>
    <w:tmpl w:val="CDEC86D4"/>
    <w:lvl w:ilvl="0" w:tplc="04180011">
      <w:start w:val="1"/>
      <w:numFmt w:val="decimal"/>
      <w:lvlText w:val="%1)"/>
      <w:lvlJc w:val="left"/>
      <w:pPr>
        <w:ind w:left="1070" w:hanging="360"/>
      </w:pPr>
      <w:rPr>
        <w:rFonts w:cs="Times New Roman"/>
        <w:b w:val="0"/>
      </w:rPr>
    </w:lvl>
    <w:lvl w:ilvl="1" w:tplc="04180011">
      <w:start w:val="487"/>
      <w:numFmt w:val="decimal"/>
      <w:lvlText w:val="%2."/>
      <w:lvlJc w:val="left"/>
      <w:pPr>
        <w:tabs>
          <w:tab w:val="num" w:pos="1680"/>
        </w:tabs>
        <w:ind w:left="1680" w:hanging="420"/>
      </w:pPr>
      <w:rPr>
        <w:rFonts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240B0516"/>
    <w:multiLevelType w:val="hybridMultilevel"/>
    <w:tmpl w:val="B5DE757C"/>
    <w:lvl w:ilvl="0" w:tplc="04180011">
      <w:start w:val="1"/>
      <w:numFmt w:val="decimal"/>
      <w:lvlText w:val="%1)"/>
      <w:lvlJc w:val="left"/>
      <w:pPr>
        <w:ind w:left="1440" w:hanging="360"/>
      </w:pPr>
      <w:rPr>
        <w:rFonts w:cs="Times New Roman"/>
      </w:rPr>
    </w:lvl>
    <w:lvl w:ilvl="1" w:tplc="0952140C">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7" w15:restartNumberingAfterBreak="0">
    <w:nsid w:val="28FE417F"/>
    <w:multiLevelType w:val="hybridMultilevel"/>
    <w:tmpl w:val="6D2CC7D6"/>
    <w:lvl w:ilvl="0" w:tplc="04090017">
      <w:start w:val="1"/>
      <w:numFmt w:val="lowerLetter"/>
      <w:lvlText w:val="%1)"/>
      <w:lvlJc w:val="left"/>
      <w:pPr>
        <w:ind w:left="1429" w:hanging="360"/>
      </w:pPr>
    </w:lvl>
    <w:lvl w:ilvl="1" w:tplc="04190011">
      <w:start w:val="1"/>
      <w:numFmt w:val="decimal"/>
      <w:lvlText w:val="%2)"/>
      <w:lvlJc w:val="left"/>
      <w:pPr>
        <w:ind w:left="1920"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466F27"/>
    <w:multiLevelType w:val="hybridMultilevel"/>
    <w:tmpl w:val="4EC40BA4"/>
    <w:lvl w:ilvl="0" w:tplc="354030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A9A16AD"/>
    <w:multiLevelType w:val="hybridMultilevel"/>
    <w:tmpl w:val="5A969D4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2FAD473D"/>
    <w:multiLevelType w:val="hybridMultilevel"/>
    <w:tmpl w:val="C20E47EE"/>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C46DD"/>
    <w:multiLevelType w:val="hybridMultilevel"/>
    <w:tmpl w:val="AC34BBC2"/>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2" w15:restartNumberingAfterBreak="0">
    <w:nsid w:val="34B37927"/>
    <w:multiLevelType w:val="hybridMultilevel"/>
    <w:tmpl w:val="26DC0880"/>
    <w:lvl w:ilvl="0" w:tplc="04180011">
      <w:start w:val="1"/>
      <w:numFmt w:val="decimal"/>
      <w:lvlText w:val="%1)"/>
      <w:lvlJc w:val="left"/>
      <w:pPr>
        <w:ind w:left="1320" w:hanging="360"/>
      </w:pPr>
      <w:rPr>
        <w:rFonts w:cs="Times New Roman"/>
      </w:rPr>
    </w:lvl>
    <w:lvl w:ilvl="1" w:tplc="04180011">
      <w:start w:val="1"/>
      <w:numFmt w:val="decimal"/>
      <w:lvlText w:val="%2)"/>
      <w:lvlJc w:val="left"/>
      <w:pPr>
        <w:ind w:left="2040" w:hanging="360"/>
      </w:pPr>
      <w:rPr>
        <w:rFonts w:cs="Times New Roman"/>
      </w:rPr>
    </w:lvl>
    <w:lvl w:ilvl="2" w:tplc="0418001B" w:tentative="1">
      <w:start w:val="1"/>
      <w:numFmt w:val="lowerRoman"/>
      <w:lvlText w:val="%3."/>
      <w:lvlJc w:val="right"/>
      <w:pPr>
        <w:ind w:left="2760" w:hanging="180"/>
      </w:pPr>
      <w:rPr>
        <w:rFonts w:cs="Times New Roman"/>
      </w:rPr>
    </w:lvl>
    <w:lvl w:ilvl="3" w:tplc="0418000F" w:tentative="1">
      <w:start w:val="1"/>
      <w:numFmt w:val="decimal"/>
      <w:lvlText w:val="%4."/>
      <w:lvlJc w:val="left"/>
      <w:pPr>
        <w:ind w:left="3480" w:hanging="360"/>
      </w:pPr>
      <w:rPr>
        <w:rFonts w:cs="Times New Roman"/>
      </w:rPr>
    </w:lvl>
    <w:lvl w:ilvl="4" w:tplc="04180019" w:tentative="1">
      <w:start w:val="1"/>
      <w:numFmt w:val="lowerLetter"/>
      <w:lvlText w:val="%5."/>
      <w:lvlJc w:val="left"/>
      <w:pPr>
        <w:ind w:left="4200" w:hanging="360"/>
      </w:pPr>
      <w:rPr>
        <w:rFonts w:cs="Times New Roman"/>
      </w:rPr>
    </w:lvl>
    <w:lvl w:ilvl="5" w:tplc="0418001B" w:tentative="1">
      <w:start w:val="1"/>
      <w:numFmt w:val="lowerRoman"/>
      <w:lvlText w:val="%6."/>
      <w:lvlJc w:val="right"/>
      <w:pPr>
        <w:ind w:left="4920" w:hanging="180"/>
      </w:pPr>
      <w:rPr>
        <w:rFonts w:cs="Times New Roman"/>
      </w:rPr>
    </w:lvl>
    <w:lvl w:ilvl="6" w:tplc="0418000F" w:tentative="1">
      <w:start w:val="1"/>
      <w:numFmt w:val="decimal"/>
      <w:lvlText w:val="%7."/>
      <w:lvlJc w:val="left"/>
      <w:pPr>
        <w:ind w:left="5640" w:hanging="360"/>
      </w:pPr>
      <w:rPr>
        <w:rFonts w:cs="Times New Roman"/>
      </w:rPr>
    </w:lvl>
    <w:lvl w:ilvl="7" w:tplc="04180019" w:tentative="1">
      <w:start w:val="1"/>
      <w:numFmt w:val="lowerLetter"/>
      <w:lvlText w:val="%8."/>
      <w:lvlJc w:val="left"/>
      <w:pPr>
        <w:ind w:left="6360" w:hanging="360"/>
      </w:pPr>
      <w:rPr>
        <w:rFonts w:cs="Times New Roman"/>
      </w:rPr>
    </w:lvl>
    <w:lvl w:ilvl="8" w:tplc="0418001B" w:tentative="1">
      <w:start w:val="1"/>
      <w:numFmt w:val="lowerRoman"/>
      <w:lvlText w:val="%9."/>
      <w:lvlJc w:val="right"/>
      <w:pPr>
        <w:ind w:left="7080" w:hanging="180"/>
      </w:pPr>
      <w:rPr>
        <w:rFonts w:cs="Times New Roman"/>
      </w:rPr>
    </w:lvl>
  </w:abstractNum>
  <w:abstractNum w:abstractNumId="13" w15:restartNumberingAfterBreak="0">
    <w:nsid w:val="379513FD"/>
    <w:multiLevelType w:val="hybridMultilevel"/>
    <w:tmpl w:val="FAE0016A"/>
    <w:lvl w:ilvl="0" w:tplc="A202BB8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B96235E"/>
    <w:multiLevelType w:val="hybridMultilevel"/>
    <w:tmpl w:val="EAA2E382"/>
    <w:lvl w:ilvl="0" w:tplc="2B9C62A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15:restartNumberingAfterBreak="0">
    <w:nsid w:val="3C280D94"/>
    <w:multiLevelType w:val="hybridMultilevel"/>
    <w:tmpl w:val="3A620E82"/>
    <w:lvl w:ilvl="0" w:tplc="3ECCA17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4365333C"/>
    <w:multiLevelType w:val="hybridMultilevel"/>
    <w:tmpl w:val="705CFE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9"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4F413DC1"/>
    <w:multiLevelType w:val="hybridMultilevel"/>
    <w:tmpl w:val="BD3649FC"/>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223601E"/>
    <w:multiLevelType w:val="hybridMultilevel"/>
    <w:tmpl w:val="60FE7F10"/>
    <w:lvl w:ilvl="0" w:tplc="04180017">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D7E04AF6"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2" w15:restartNumberingAfterBreak="0">
    <w:nsid w:val="5308296F"/>
    <w:multiLevelType w:val="hybridMultilevel"/>
    <w:tmpl w:val="AF1E836E"/>
    <w:lvl w:ilvl="0" w:tplc="376A7038">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5411562C"/>
    <w:multiLevelType w:val="hybridMultilevel"/>
    <w:tmpl w:val="12A8030C"/>
    <w:lvl w:ilvl="0" w:tplc="86F29430">
      <w:start w:val="1"/>
      <w:numFmt w:val="decimal"/>
      <w:lvlText w:val="%1)"/>
      <w:lvlJc w:val="left"/>
      <w:pPr>
        <w:ind w:left="1440" w:hanging="360"/>
      </w:pPr>
      <w:rPr>
        <w:rFonts w:cs="Times New Roman"/>
      </w:rPr>
    </w:lvl>
    <w:lvl w:ilvl="1" w:tplc="04080019">
      <w:start w:val="1"/>
      <w:numFmt w:val="decimal"/>
      <w:lvlText w:val="%2)"/>
      <w:lvlJc w:val="left"/>
      <w:pPr>
        <w:ind w:left="2160" w:hanging="360"/>
      </w:pPr>
      <w:rPr>
        <w:rFonts w:cs="Times New Roman"/>
      </w:rPr>
    </w:lvl>
    <w:lvl w:ilvl="2" w:tplc="0408001B">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24" w15:restartNumberingAfterBreak="0">
    <w:nsid w:val="567E64EF"/>
    <w:multiLevelType w:val="hybridMultilevel"/>
    <w:tmpl w:val="FD960E00"/>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5" w15:restartNumberingAfterBreak="0">
    <w:nsid w:val="56C4640F"/>
    <w:multiLevelType w:val="hybridMultilevel"/>
    <w:tmpl w:val="9BB4AFA6"/>
    <w:lvl w:ilvl="0" w:tplc="04180011">
      <w:start w:val="1"/>
      <w:numFmt w:val="decimal"/>
      <w:lvlText w:val="%1)"/>
      <w:lvlJc w:val="left"/>
      <w:pPr>
        <w:ind w:left="720" w:hanging="360"/>
      </w:pPr>
      <w:rPr>
        <w:rFonts w:cs="Times New Roman"/>
      </w:rPr>
    </w:lvl>
    <w:lvl w:ilvl="1" w:tplc="0418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58FD193D"/>
    <w:multiLevelType w:val="hybridMultilevel"/>
    <w:tmpl w:val="11DEB538"/>
    <w:lvl w:ilvl="0" w:tplc="2B9C62A6">
      <w:start w:val="1"/>
      <w:numFmt w:val="decimal"/>
      <w:lvlText w:val="%1)"/>
      <w:lvlJc w:val="left"/>
      <w:pPr>
        <w:ind w:left="17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98471B4"/>
    <w:multiLevelType w:val="hybridMultilevel"/>
    <w:tmpl w:val="88B6568A"/>
    <w:lvl w:ilvl="0" w:tplc="27820CD8">
      <w:start w:val="1"/>
      <w:numFmt w:val="decimal"/>
      <w:lvlText w:val="%1)"/>
      <w:lvlJc w:val="left"/>
      <w:pPr>
        <w:ind w:left="1070" w:hanging="360"/>
      </w:pPr>
      <w:rPr>
        <w:rFonts w:cs="Times New Roman"/>
        <w:b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9BF4640"/>
    <w:multiLevelType w:val="hybridMultilevel"/>
    <w:tmpl w:val="A2D07DCE"/>
    <w:lvl w:ilvl="0" w:tplc="04180011">
      <w:start w:val="1"/>
      <w:numFmt w:val="decimal"/>
      <w:lvlText w:val="%1)"/>
      <w:lvlJc w:val="left"/>
      <w:pPr>
        <w:ind w:left="1440" w:hanging="360"/>
      </w:pPr>
      <w:rPr>
        <w:rFonts w:cs="Times New Roman"/>
      </w:rPr>
    </w:lvl>
    <w:lvl w:ilvl="1" w:tplc="04180019">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9" w15:restartNumberingAfterBreak="0">
    <w:nsid w:val="657765C4"/>
    <w:multiLevelType w:val="hybridMultilevel"/>
    <w:tmpl w:val="94502CAE"/>
    <w:lvl w:ilvl="0" w:tplc="04180011">
      <w:start w:val="1"/>
      <w:numFmt w:val="decimal"/>
      <w:lvlText w:val="%1)"/>
      <w:lvlJc w:val="left"/>
      <w:pPr>
        <w:ind w:left="1070" w:hanging="360"/>
      </w:pPr>
      <w:rPr>
        <w:rFonts w:cs="Times New Roman"/>
        <w:b w:val="0"/>
      </w:rPr>
    </w:lvl>
    <w:lvl w:ilvl="1" w:tplc="0418001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6AA21FEB"/>
    <w:multiLevelType w:val="hybridMultilevel"/>
    <w:tmpl w:val="7B54B21C"/>
    <w:lvl w:ilvl="0" w:tplc="75BC26D2">
      <w:start w:val="1"/>
      <w:numFmt w:val="decimal"/>
      <w:lvlText w:val="%1."/>
      <w:lvlJc w:val="left"/>
      <w:pPr>
        <w:ind w:left="1080" w:hanging="360"/>
      </w:pPr>
      <w:rPr>
        <w:rFonts w:hint="default"/>
        <w:b/>
      </w:rPr>
    </w:lvl>
    <w:lvl w:ilvl="1" w:tplc="04190011">
      <w:start w:val="1"/>
      <w:numFmt w:val="decimal"/>
      <w:lvlText w:val="%2)"/>
      <w:lvlJc w:val="left"/>
      <w:pPr>
        <w:ind w:left="786"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AF20863"/>
    <w:multiLevelType w:val="hybridMultilevel"/>
    <w:tmpl w:val="C5A02522"/>
    <w:lvl w:ilvl="0" w:tplc="FFFFFFFF">
      <w:start w:val="1"/>
      <w:numFmt w:val="decimal"/>
      <w:lvlText w:val="%1)"/>
      <w:lvlJc w:val="left"/>
      <w:pPr>
        <w:ind w:left="1440" w:hanging="360"/>
      </w:pPr>
      <w:rPr>
        <w:rFonts w:cs="Times New Roman"/>
      </w:rPr>
    </w:lvl>
    <w:lvl w:ilvl="1" w:tplc="FFFFFFFF">
      <w:start w:val="1"/>
      <w:numFmt w:val="decimal"/>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2" w15:restartNumberingAfterBreak="0">
    <w:nsid w:val="721E35EA"/>
    <w:multiLevelType w:val="hybridMultilevel"/>
    <w:tmpl w:val="1E9E158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Letter"/>
      <w:lvlText w:val="%3)"/>
      <w:lvlJc w:val="lef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743A31D3"/>
    <w:multiLevelType w:val="hybridMultilevel"/>
    <w:tmpl w:val="4DA63024"/>
    <w:lvl w:ilvl="0" w:tplc="04180017">
      <w:start w:val="1"/>
      <w:numFmt w:val="decimal"/>
      <w:lvlText w:val="%1)"/>
      <w:lvlJc w:val="left"/>
      <w:pPr>
        <w:ind w:left="2880" w:hanging="360"/>
      </w:pPr>
      <w:rPr>
        <w:rFonts w:cs="Times New Roman"/>
      </w:rPr>
    </w:lvl>
    <w:lvl w:ilvl="1" w:tplc="04180019" w:tentative="1">
      <w:start w:val="1"/>
      <w:numFmt w:val="lowerLetter"/>
      <w:lvlText w:val="%2."/>
      <w:lvlJc w:val="left"/>
      <w:pPr>
        <w:ind w:left="3600" w:hanging="360"/>
      </w:pPr>
      <w:rPr>
        <w:rFonts w:cs="Times New Roman"/>
      </w:rPr>
    </w:lvl>
    <w:lvl w:ilvl="2" w:tplc="04180017" w:tentative="1">
      <w:start w:val="1"/>
      <w:numFmt w:val="lowerRoman"/>
      <w:lvlText w:val="%3."/>
      <w:lvlJc w:val="right"/>
      <w:pPr>
        <w:ind w:left="4320" w:hanging="180"/>
      </w:pPr>
      <w:rPr>
        <w:rFonts w:cs="Times New Roman"/>
      </w:rPr>
    </w:lvl>
    <w:lvl w:ilvl="3" w:tplc="0418000F" w:tentative="1">
      <w:start w:val="1"/>
      <w:numFmt w:val="decimal"/>
      <w:lvlText w:val="%4."/>
      <w:lvlJc w:val="left"/>
      <w:pPr>
        <w:ind w:left="5040" w:hanging="360"/>
      </w:pPr>
      <w:rPr>
        <w:rFonts w:cs="Times New Roman"/>
      </w:rPr>
    </w:lvl>
    <w:lvl w:ilvl="4" w:tplc="04180019" w:tentative="1">
      <w:start w:val="1"/>
      <w:numFmt w:val="lowerLetter"/>
      <w:lvlText w:val="%5."/>
      <w:lvlJc w:val="left"/>
      <w:pPr>
        <w:ind w:left="5760" w:hanging="360"/>
      </w:pPr>
      <w:rPr>
        <w:rFonts w:cs="Times New Roman"/>
      </w:rPr>
    </w:lvl>
    <w:lvl w:ilvl="5" w:tplc="0418001B" w:tentative="1">
      <w:start w:val="1"/>
      <w:numFmt w:val="lowerRoman"/>
      <w:lvlText w:val="%6."/>
      <w:lvlJc w:val="right"/>
      <w:pPr>
        <w:ind w:left="6480" w:hanging="180"/>
      </w:pPr>
      <w:rPr>
        <w:rFonts w:cs="Times New Roman"/>
      </w:rPr>
    </w:lvl>
    <w:lvl w:ilvl="6" w:tplc="0418000F" w:tentative="1">
      <w:start w:val="1"/>
      <w:numFmt w:val="decimal"/>
      <w:lvlText w:val="%7."/>
      <w:lvlJc w:val="left"/>
      <w:pPr>
        <w:ind w:left="7200" w:hanging="360"/>
      </w:pPr>
      <w:rPr>
        <w:rFonts w:cs="Times New Roman"/>
      </w:rPr>
    </w:lvl>
    <w:lvl w:ilvl="7" w:tplc="04180019" w:tentative="1">
      <w:start w:val="1"/>
      <w:numFmt w:val="lowerLetter"/>
      <w:lvlText w:val="%8."/>
      <w:lvlJc w:val="left"/>
      <w:pPr>
        <w:ind w:left="7920" w:hanging="360"/>
      </w:pPr>
      <w:rPr>
        <w:rFonts w:cs="Times New Roman"/>
      </w:rPr>
    </w:lvl>
    <w:lvl w:ilvl="8" w:tplc="0418001B" w:tentative="1">
      <w:start w:val="1"/>
      <w:numFmt w:val="lowerRoman"/>
      <w:lvlText w:val="%9."/>
      <w:lvlJc w:val="right"/>
      <w:pPr>
        <w:ind w:left="8640" w:hanging="180"/>
      </w:pPr>
      <w:rPr>
        <w:rFonts w:cs="Times New Roman"/>
      </w:rPr>
    </w:lvl>
  </w:abstractNum>
  <w:abstractNum w:abstractNumId="34" w15:restartNumberingAfterBreak="0">
    <w:nsid w:val="75725977"/>
    <w:multiLevelType w:val="hybridMultilevel"/>
    <w:tmpl w:val="C69ABA22"/>
    <w:lvl w:ilvl="0" w:tplc="04180011">
      <w:start w:val="1"/>
      <w:numFmt w:val="decimal"/>
      <w:lvlText w:val="%1)"/>
      <w:lvlJc w:val="left"/>
      <w:pPr>
        <w:ind w:left="2160" w:hanging="360"/>
      </w:pPr>
      <w:rPr>
        <w:rFonts w:cs="Times New Roman"/>
      </w:rPr>
    </w:lvl>
    <w:lvl w:ilvl="1" w:tplc="04090019">
      <w:start w:val="1"/>
      <w:numFmt w:val="decimal"/>
      <w:lvlText w:val="%2)"/>
      <w:lvlJc w:val="left"/>
      <w:pPr>
        <w:ind w:left="1637"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15:restartNumberingAfterBreak="0">
    <w:nsid w:val="77DC7F77"/>
    <w:multiLevelType w:val="hybridMultilevel"/>
    <w:tmpl w:val="8DA8E126"/>
    <w:lvl w:ilvl="0" w:tplc="04180011">
      <w:start w:val="1"/>
      <w:numFmt w:val="lowerLetter"/>
      <w:lvlText w:val="%1)"/>
      <w:lvlJc w:val="left"/>
      <w:pPr>
        <w:ind w:left="3300" w:hanging="360"/>
      </w:pPr>
      <w:rPr>
        <w:rFonts w:cs="Times New Roman"/>
      </w:rPr>
    </w:lvl>
    <w:lvl w:ilvl="1" w:tplc="04180011" w:tentative="1">
      <w:start w:val="1"/>
      <w:numFmt w:val="lowerLetter"/>
      <w:lvlText w:val="%2."/>
      <w:lvlJc w:val="left"/>
      <w:pPr>
        <w:ind w:left="4020" w:hanging="360"/>
      </w:pPr>
      <w:rPr>
        <w:rFonts w:cs="Times New Roman"/>
      </w:rPr>
    </w:lvl>
    <w:lvl w:ilvl="2" w:tplc="0418001B">
      <w:start w:val="1"/>
      <w:numFmt w:val="lowerLetter"/>
      <w:lvlText w:val="%3)"/>
      <w:lvlJc w:val="left"/>
      <w:pPr>
        <w:ind w:left="4740" w:hanging="180"/>
      </w:pPr>
      <w:rPr>
        <w:rFonts w:cs="Times New Roman"/>
      </w:rPr>
    </w:lvl>
    <w:lvl w:ilvl="3" w:tplc="0418000F" w:tentative="1">
      <w:start w:val="1"/>
      <w:numFmt w:val="decimal"/>
      <w:lvlText w:val="%4."/>
      <w:lvlJc w:val="left"/>
      <w:pPr>
        <w:ind w:left="5460" w:hanging="360"/>
      </w:pPr>
      <w:rPr>
        <w:rFonts w:cs="Times New Roman"/>
      </w:rPr>
    </w:lvl>
    <w:lvl w:ilvl="4" w:tplc="04180019" w:tentative="1">
      <w:start w:val="1"/>
      <w:numFmt w:val="lowerLetter"/>
      <w:lvlText w:val="%5."/>
      <w:lvlJc w:val="left"/>
      <w:pPr>
        <w:ind w:left="6180" w:hanging="360"/>
      </w:pPr>
      <w:rPr>
        <w:rFonts w:cs="Times New Roman"/>
      </w:rPr>
    </w:lvl>
    <w:lvl w:ilvl="5" w:tplc="0418001B" w:tentative="1">
      <w:start w:val="1"/>
      <w:numFmt w:val="lowerRoman"/>
      <w:lvlText w:val="%6."/>
      <w:lvlJc w:val="right"/>
      <w:pPr>
        <w:ind w:left="6900" w:hanging="180"/>
      </w:pPr>
      <w:rPr>
        <w:rFonts w:cs="Times New Roman"/>
      </w:rPr>
    </w:lvl>
    <w:lvl w:ilvl="6" w:tplc="0418000F" w:tentative="1">
      <w:start w:val="1"/>
      <w:numFmt w:val="decimal"/>
      <w:lvlText w:val="%7."/>
      <w:lvlJc w:val="left"/>
      <w:pPr>
        <w:ind w:left="7620" w:hanging="360"/>
      </w:pPr>
      <w:rPr>
        <w:rFonts w:cs="Times New Roman"/>
      </w:rPr>
    </w:lvl>
    <w:lvl w:ilvl="7" w:tplc="04180019" w:tentative="1">
      <w:start w:val="1"/>
      <w:numFmt w:val="lowerLetter"/>
      <w:lvlText w:val="%8."/>
      <w:lvlJc w:val="left"/>
      <w:pPr>
        <w:ind w:left="8340" w:hanging="360"/>
      </w:pPr>
      <w:rPr>
        <w:rFonts w:cs="Times New Roman"/>
      </w:rPr>
    </w:lvl>
    <w:lvl w:ilvl="8" w:tplc="0418001B" w:tentative="1">
      <w:start w:val="1"/>
      <w:numFmt w:val="lowerRoman"/>
      <w:lvlText w:val="%9."/>
      <w:lvlJc w:val="right"/>
      <w:pPr>
        <w:ind w:left="9060" w:hanging="180"/>
      </w:pPr>
      <w:rPr>
        <w:rFonts w:cs="Times New Roman"/>
      </w:rPr>
    </w:lvl>
  </w:abstractNum>
  <w:abstractNum w:abstractNumId="36" w15:restartNumberingAfterBreak="0">
    <w:nsid w:val="77E43FE7"/>
    <w:multiLevelType w:val="hybridMultilevel"/>
    <w:tmpl w:val="6F581B8A"/>
    <w:lvl w:ilvl="0" w:tplc="04180011">
      <w:start w:val="1"/>
      <w:numFmt w:val="decimal"/>
      <w:lvlText w:val="%1)"/>
      <w:lvlJc w:val="left"/>
      <w:pPr>
        <w:ind w:left="720" w:hanging="360"/>
      </w:pPr>
      <w:rPr>
        <w:rFonts w:cs="Times New Roman"/>
      </w:rPr>
    </w:lvl>
    <w:lvl w:ilvl="1" w:tplc="04180019">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7" w15:restartNumberingAfterBreak="0">
    <w:nsid w:val="7D557810"/>
    <w:multiLevelType w:val="hybridMultilevel"/>
    <w:tmpl w:val="046290CE"/>
    <w:lvl w:ilvl="0" w:tplc="04180011">
      <w:start w:val="1"/>
      <w:numFmt w:val="decimal"/>
      <w:lvlText w:val="%1)"/>
      <w:lvlJc w:val="left"/>
      <w:pPr>
        <w:ind w:left="2160" w:hanging="360"/>
      </w:pPr>
      <w:rPr>
        <w:rFonts w:cs="Times New Roman"/>
      </w:rPr>
    </w:lvl>
    <w:lvl w:ilvl="1" w:tplc="04190003">
      <w:start w:val="1"/>
      <w:numFmt w:val="decimal"/>
      <w:lvlText w:val="%2)"/>
      <w:lvlJc w:val="left"/>
      <w:pPr>
        <w:ind w:left="2880" w:hanging="360"/>
      </w:pPr>
      <w:rPr>
        <w:rFonts w:cs="Times New Roman"/>
      </w:rPr>
    </w:lvl>
    <w:lvl w:ilvl="2" w:tplc="04190005" w:tentative="1">
      <w:start w:val="1"/>
      <w:numFmt w:val="lowerRoman"/>
      <w:lvlText w:val="%3."/>
      <w:lvlJc w:val="right"/>
      <w:pPr>
        <w:ind w:left="3600" w:hanging="180"/>
      </w:pPr>
      <w:rPr>
        <w:rFonts w:cs="Times New Roman"/>
      </w:rPr>
    </w:lvl>
    <w:lvl w:ilvl="3" w:tplc="04190001" w:tentative="1">
      <w:start w:val="1"/>
      <w:numFmt w:val="decimal"/>
      <w:lvlText w:val="%4."/>
      <w:lvlJc w:val="left"/>
      <w:pPr>
        <w:ind w:left="4320" w:hanging="360"/>
      </w:pPr>
      <w:rPr>
        <w:rFonts w:cs="Times New Roman"/>
      </w:rPr>
    </w:lvl>
    <w:lvl w:ilvl="4" w:tplc="04190003" w:tentative="1">
      <w:start w:val="1"/>
      <w:numFmt w:val="lowerLetter"/>
      <w:lvlText w:val="%5."/>
      <w:lvlJc w:val="left"/>
      <w:pPr>
        <w:ind w:left="5040" w:hanging="360"/>
      </w:pPr>
      <w:rPr>
        <w:rFonts w:cs="Times New Roman"/>
      </w:rPr>
    </w:lvl>
    <w:lvl w:ilvl="5" w:tplc="04190005" w:tentative="1">
      <w:start w:val="1"/>
      <w:numFmt w:val="lowerRoman"/>
      <w:lvlText w:val="%6."/>
      <w:lvlJc w:val="right"/>
      <w:pPr>
        <w:ind w:left="5760" w:hanging="180"/>
      </w:pPr>
      <w:rPr>
        <w:rFonts w:cs="Times New Roman"/>
      </w:rPr>
    </w:lvl>
    <w:lvl w:ilvl="6" w:tplc="04190001" w:tentative="1">
      <w:start w:val="1"/>
      <w:numFmt w:val="decimal"/>
      <w:lvlText w:val="%7."/>
      <w:lvlJc w:val="left"/>
      <w:pPr>
        <w:ind w:left="6480" w:hanging="360"/>
      </w:pPr>
      <w:rPr>
        <w:rFonts w:cs="Times New Roman"/>
      </w:rPr>
    </w:lvl>
    <w:lvl w:ilvl="7" w:tplc="04190003" w:tentative="1">
      <w:start w:val="1"/>
      <w:numFmt w:val="lowerLetter"/>
      <w:lvlText w:val="%8."/>
      <w:lvlJc w:val="left"/>
      <w:pPr>
        <w:ind w:left="7200" w:hanging="360"/>
      </w:pPr>
      <w:rPr>
        <w:rFonts w:cs="Times New Roman"/>
      </w:rPr>
    </w:lvl>
    <w:lvl w:ilvl="8" w:tplc="04190005" w:tentative="1">
      <w:start w:val="1"/>
      <w:numFmt w:val="lowerRoman"/>
      <w:lvlText w:val="%9."/>
      <w:lvlJc w:val="right"/>
      <w:pPr>
        <w:ind w:left="7920" w:hanging="180"/>
      </w:pPr>
      <w:rPr>
        <w:rFonts w:cs="Times New Roman"/>
      </w:rPr>
    </w:lvl>
  </w:abstractNum>
  <w:abstractNum w:abstractNumId="38" w15:restartNumberingAfterBreak="0">
    <w:nsid w:val="7E043C4A"/>
    <w:multiLevelType w:val="hybridMultilevel"/>
    <w:tmpl w:val="C498A856"/>
    <w:lvl w:ilvl="0" w:tplc="199A89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0"/>
  </w:num>
  <w:num w:numId="2">
    <w:abstractNumId w:val="19"/>
  </w:num>
  <w:num w:numId="3">
    <w:abstractNumId w:val="7"/>
  </w:num>
  <w:num w:numId="4">
    <w:abstractNumId w:val="17"/>
  </w:num>
  <w:num w:numId="5">
    <w:abstractNumId w:val="4"/>
  </w:num>
  <w:num w:numId="6">
    <w:abstractNumId w:val="15"/>
  </w:num>
  <w:num w:numId="7">
    <w:abstractNumId w:val="13"/>
  </w:num>
  <w:num w:numId="8">
    <w:abstractNumId w:val="38"/>
  </w:num>
  <w:num w:numId="9">
    <w:abstractNumId w:val="14"/>
  </w:num>
  <w:num w:numId="10">
    <w:abstractNumId w:val="18"/>
  </w:num>
  <w:num w:numId="11">
    <w:abstractNumId w:val="24"/>
  </w:num>
  <w:num w:numId="12">
    <w:abstractNumId w:val="3"/>
  </w:num>
  <w:num w:numId="13">
    <w:abstractNumId w:val="29"/>
  </w:num>
  <w:num w:numId="14">
    <w:abstractNumId w:val="26"/>
  </w:num>
  <w:num w:numId="15">
    <w:abstractNumId w:val="23"/>
  </w:num>
  <w:num w:numId="16">
    <w:abstractNumId w:val="11"/>
  </w:num>
  <w:num w:numId="17">
    <w:abstractNumId w:val="37"/>
  </w:num>
  <w:num w:numId="18">
    <w:abstractNumId w:val="21"/>
  </w:num>
  <w:num w:numId="19">
    <w:abstractNumId w:val="28"/>
  </w:num>
  <w:num w:numId="20">
    <w:abstractNumId w:val="36"/>
  </w:num>
  <w:num w:numId="21">
    <w:abstractNumId w:val="12"/>
  </w:num>
  <w:num w:numId="22">
    <w:abstractNumId w:val="35"/>
  </w:num>
  <w:num w:numId="23">
    <w:abstractNumId w:val="20"/>
  </w:num>
  <w:num w:numId="24">
    <w:abstractNumId w:val="33"/>
  </w:num>
  <w:num w:numId="25">
    <w:abstractNumId w:val="34"/>
  </w:num>
  <w:num w:numId="26">
    <w:abstractNumId w:val="2"/>
  </w:num>
  <w:num w:numId="27">
    <w:abstractNumId w:val="25"/>
  </w:num>
  <w:num w:numId="28">
    <w:abstractNumId w:val="9"/>
  </w:num>
  <w:num w:numId="29">
    <w:abstractNumId w:val="6"/>
  </w:num>
  <w:num w:numId="30">
    <w:abstractNumId w:val="31"/>
  </w:num>
  <w:num w:numId="31">
    <w:abstractNumId w:val="5"/>
  </w:num>
  <w:num w:numId="32">
    <w:abstractNumId w:val="27"/>
  </w:num>
  <w:num w:numId="33">
    <w:abstractNumId w:val="32"/>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
  </w:num>
  <w:num w:numId="38">
    <w:abstractNumId w:val="16"/>
  </w:num>
  <w:num w:numId="39">
    <w:abstractNumId w:val="22"/>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97A"/>
    <w:rsid w:val="00000B7D"/>
    <w:rsid w:val="00000F78"/>
    <w:rsid w:val="00001B26"/>
    <w:rsid w:val="0000220A"/>
    <w:rsid w:val="00002739"/>
    <w:rsid w:val="00003FD2"/>
    <w:rsid w:val="000045FD"/>
    <w:rsid w:val="000065BE"/>
    <w:rsid w:val="00011060"/>
    <w:rsid w:val="00011386"/>
    <w:rsid w:val="0001253C"/>
    <w:rsid w:val="000128A5"/>
    <w:rsid w:val="000134EE"/>
    <w:rsid w:val="00015490"/>
    <w:rsid w:val="00015603"/>
    <w:rsid w:val="0001730D"/>
    <w:rsid w:val="000214F4"/>
    <w:rsid w:val="000217B6"/>
    <w:rsid w:val="000234EF"/>
    <w:rsid w:val="00023BAB"/>
    <w:rsid w:val="00024C61"/>
    <w:rsid w:val="00026226"/>
    <w:rsid w:val="00026700"/>
    <w:rsid w:val="000272EE"/>
    <w:rsid w:val="0002758B"/>
    <w:rsid w:val="0002764B"/>
    <w:rsid w:val="00027A49"/>
    <w:rsid w:val="00030C4B"/>
    <w:rsid w:val="000314C0"/>
    <w:rsid w:val="00031D78"/>
    <w:rsid w:val="00032315"/>
    <w:rsid w:val="00032B45"/>
    <w:rsid w:val="00032F20"/>
    <w:rsid w:val="00034221"/>
    <w:rsid w:val="00034A0F"/>
    <w:rsid w:val="00036E7E"/>
    <w:rsid w:val="000374C3"/>
    <w:rsid w:val="00037947"/>
    <w:rsid w:val="00041158"/>
    <w:rsid w:val="0004176A"/>
    <w:rsid w:val="00041B26"/>
    <w:rsid w:val="00041E1B"/>
    <w:rsid w:val="00042AF6"/>
    <w:rsid w:val="00044D84"/>
    <w:rsid w:val="00045CA7"/>
    <w:rsid w:val="00047347"/>
    <w:rsid w:val="00051212"/>
    <w:rsid w:val="0005218C"/>
    <w:rsid w:val="0005339C"/>
    <w:rsid w:val="00054740"/>
    <w:rsid w:val="000547C8"/>
    <w:rsid w:val="00056713"/>
    <w:rsid w:val="00056994"/>
    <w:rsid w:val="00057A82"/>
    <w:rsid w:val="00060259"/>
    <w:rsid w:val="00060759"/>
    <w:rsid w:val="00061905"/>
    <w:rsid w:val="000627AB"/>
    <w:rsid w:val="00064458"/>
    <w:rsid w:val="0006577D"/>
    <w:rsid w:val="00065B63"/>
    <w:rsid w:val="0006666B"/>
    <w:rsid w:val="0006677B"/>
    <w:rsid w:val="0007018B"/>
    <w:rsid w:val="00072B35"/>
    <w:rsid w:val="00074931"/>
    <w:rsid w:val="00075F3A"/>
    <w:rsid w:val="00075FA9"/>
    <w:rsid w:val="0007622C"/>
    <w:rsid w:val="000767B9"/>
    <w:rsid w:val="00081453"/>
    <w:rsid w:val="00081FBA"/>
    <w:rsid w:val="0008362F"/>
    <w:rsid w:val="0008408A"/>
    <w:rsid w:val="000848D5"/>
    <w:rsid w:val="000849CD"/>
    <w:rsid w:val="00084A9F"/>
    <w:rsid w:val="00086B85"/>
    <w:rsid w:val="00087094"/>
    <w:rsid w:val="00087C43"/>
    <w:rsid w:val="00087ED5"/>
    <w:rsid w:val="00091212"/>
    <w:rsid w:val="00091635"/>
    <w:rsid w:val="00092D80"/>
    <w:rsid w:val="00093102"/>
    <w:rsid w:val="000936E4"/>
    <w:rsid w:val="00093923"/>
    <w:rsid w:val="00095E7E"/>
    <w:rsid w:val="00096AF1"/>
    <w:rsid w:val="00097203"/>
    <w:rsid w:val="0009752A"/>
    <w:rsid w:val="000A1297"/>
    <w:rsid w:val="000A1D07"/>
    <w:rsid w:val="000A2134"/>
    <w:rsid w:val="000A2138"/>
    <w:rsid w:val="000A2CB6"/>
    <w:rsid w:val="000A3005"/>
    <w:rsid w:val="000A303D"/>
    <w:rsid w:val="000A330D"/>
    <w:rsid w:val="000A414F"/>
    <w:rsid w:val="000A61D8"/>
    <w:rsid w:val="000A7026"/>
    <w:rsid w:val="000B03C6"/>
    <w:rsid w:val="000B07A2"/>
    <w:rsid w:val="000B0A52"/>
    <w:rsid w:val="000B10F6"/>
    <w:rsid w:val="000B1C7D"/>
    <w:rsid w:val="000B224B"/>
    <w:rsid w:val="000B2760"/>
    <w:rsid w:val="000B313A"/>
    <w:rsid w:val="000B3AD3"/>
    <w:rsid w:val="000B4422"/>
    <w:rsid w:val="000B49B4"/>
    <w:rsid w:val="000B7505"/>
    <w:rsid w:val="000B7DC4"/>
    <w:rsid w:val="000C0801"/>
    <w:rsid w:val="000C0DC3"/>
    <w:rsid w:val="000C1C77"/>
    <w:rsid w:val="000C24A5"/>
    <w:rsid w:val="000C2B03"/>
    <w:rsid w:val="000C4270"/>
    <w:rsid w:val="000C46F2"/>
    <w:rsid w:val="000C497D"/>
    <w:rsid w:val="000C4EFB"/>
    <w:rsid w:val="000C7C3F"/>
    <w:rsid w:val="000D070D"/>
    <w:rsid w:val="000D0E0D"/>
    <w:rsid w:val="000D1859"/>
    <w:rsid w:val="000D47C5"/>
    <w:rsid w:val="000D4DC9"/>
    <w:rsid w:val="000D5161"/>
    <w:rsid w:val="000D5202"/>
    <w:rsid w:val="000D6177"/>
    <w:rsid w:val="000D6276"/>
    <w:rsid w:val="000E054E"/>
    <w:rsid w:val="000E11AB"/>
    <w:rsid w:val="000E2962"/>
    <w:rsid w:val="000E4200"/>
    <w:rsid w:val="000E47CA"/>
    <w:rsid w:val="000E4B78"/>
    <w:rsid w:val="000E5AF8"/>
    <w:rsid w:val="000E6816"/>
    <w:rsid w:val="000F17F2"/>
    <w:rsid w:val="000F37DC"/>
    <w:rsid w:val="000F391F"/>
    <w:rsid w:val="000F4287"/>
    <w:rsid w:val="000F58B5"/>
    <w:rsid w:val="000F5E27"/>
    <w:rsid w:val="000F5EB7"/>
    <w:rsid w:val="000F69EB"/>
    <w:rsid w:val="00100002"/>
    <w:rsid w:val="001000B6"/>
    <w:rsid w:val="0010059E"/>
    <w:rsid w:val="00101645"/>
    <w:rsid w:val="001028D2"/>
    <w:rsid w:val="00102FEC"/>
    <w:rsid w:val="001033C4"/>
    <w:rsid w:val="00103918"/>
    <w:rsid w:val="00103E8E"/>
    <w:rsid w:val="00106620"/>
    <w:rsid w:val="00107E92"/>
    <w:rsid w:val="00111B21"/>
    <w:rsid w:val="001135E8"/>
    <w:rsid w:val="00113694"/>
    <w:rsid w:val="00113CF4"/>
    <w:rsid w:val="00114067"/>
    <w:rsid w:val="00115F0B"/>
    <w:rsid w:val="00116E4C"/>
    <w:rsid w:val="00117275"/>
    <w:rsid w:val="0011761E"/>
    <w:rsid w:val="00120A8E"/>
    <w:rsid w:val="00120AB2"/>
    <w:rsid w:val="00120F5C"/>
    <w:rsid w:val="001212E1"/>
    <w:rsid w:val="001218BF"/>
    <w:rsid w:val="00122448"/>
    <w:rsid w:val="00122BA4"/>
    <w:rsid w:val="00125F7D"/>
    <w:rsid w:val="00127481"/>
    <w:rsid w:val="00131250"/>
    <w:rsid w:val="00131411"/>
    <w:rsid w:val="001325AC"/>
    <w:rsid w:val="00133513"/>
    <w:rsid w:val="00133BC6"/>
    <w:rsid w:val="00134FE5"/>
    <w:rsid w:val="00135163"/>
    <w:rsid w:val="0013728A"/>
    <w:rsid w:val="001375D4"/>
    <w:rsid w:val="00137AED"/>
    <w:rsid w:val="00142C4A"/>
    <w:rsid w:val="00142E0E"/>
    <w:rsid w:val="00143337"/>
    <w:rsid w:val="0014360B"/>
    <w:rsid w:val="00144247"/>
    <w:rsid w:val="0014473E"/>
    <w:rsid w:val="00146453"/>
    <w:rsid w:val="0014758C"/>
    <w:rsid w:val="00150765"/>
    <w:rsid w:val="0015084F"/>
    <w:rsid w:val="00150E88"/>
    <w:rsid w:val="0015155A"/>
    <w:rsid w:val="001519B7"/>
    <w:rsid w:val="00153269"/>
    <w:rsid w:val="0015421F"/>
    <w:rsid w:val="001542B2"/>
    <w:rsid w:val="001543B6"/>
    <w:rsid w:val="001545CB"/>
    <w:rsid w:val="00154DE0"/>
    <w:rsid w:val="00155208"/>
    <w:rsid w:val="001552A6"/>
    <w:rsid w:val="00156AAF"/>
    <w:rsid w:val="00161BB5"/>
    <w:rsid w:val="00162000"/>
    <w:rsid w:val="001638D8"/>
    <w:rsid w:val="00163C07"/>
    <w:rsid w:val="001645CB"/>
    <w:rsid w:val="0016535A"/>
    <w:rsid w:val="00165636"/>
    <w:rsid w:val="001701B7"/>
    <w:rsid w:val="001709A9"/>
    <w:rsid w:val="0017216D"/>
    <w:rsid w:val="00172260"/>
    <w:rsid w:val="00172D32"/>
    <w:rsid w:val="00172F19"/>
    <w:rsid w:val="00173DF9"/>
    <w:rsid w:val="00174377"/>
    <w:rsid w:val="00174726"/>
    <w:rsid w:val="0017478E"/>
    <w:rsid w:val="001756D2"/>
    <w:rsid w:val="0018272A"/>
    <w:rsid w:val="00184D7F"/>
    <w:rsid w:val="0018501D"/>
    <w:rsid w:val="00185FBF"/>
    <w:rsid w:val="001860DC"/>
    <w:rsid w:val="00186B10"/>
    <w:rsid w:val="00187A91"/>
    <w:rsid w:val="00187D8A"/>
    <w:rsid w:val="00190BBF"/>
    <w:rsid w:val="00190D25"/>
    <w:rsid w:val="00190FB9"/>
    <w:rsid w:val="001911D8"/>
    <w:rsid w:val="0019163F"/>
    <w:rsid w:val="00191BD7"/>
    <w:rsid w:val="0019208B"/>
    <w:rsid w:val="00193055"/>
    <w:rsid w:val="00194DCB"/>
    <w:rsid w:val="0019621F"/>
    <w:rsid w:val="00196CE1"/>
    <w:rsid w:val="001A10B3"/>
    <w:rsid w:val="001A1607"/>
    <w:rsid w:val="001A1F83"/>
    <w:rsid w:val="001A43FF"/>
    <w:rsid w:val="001A4B6D"/>
    <w:rsid w:val="001A51AA"/>
    <w:rsid w:val="001A5501"/>
    <w:rsid w:val="001A555A"/>
    <w:rsid w:val="001A62FE"/>
    <w:rsid w:val="001A6719"/>
    <w:rsid w:val="001A676E"/>
    <w:rsid w:val="001A73CD"/>
    <w:rsid w:val="001A7A38"/>
    <w:rsid w:val="001B1559"/>
    <w:rsid w:val="001B3CFE"/>
    <w:rsid w:val="001B3E7D"/>
    <w:rsid w:val="001B4E6B"/>
    <w:rsid w:val="001B5862"/>
    <w:rsid w:val="001B701F"/>
    <w:rsid w:val="001C088D"/>
    <w:rsid w:val="001C0AB5"/>
    <w:rsid w:val="001C189C"/>
    <w:rsid w:val="001C200C"/>
    <w:rsid w:val="001C3AB3"/>
    <w:rsid w:val="001C41F5"/>
    <w:rsid w:val="001C659A"/>
    <w:rsid w:val="001C6AE2"/>
    <w:rsid w:val="001C7B82"/>
    <w:rsid w:val="001D0670"/>
    <w:rsid w:val="001D162A"/>
    <w:rsid w:val="001D1782"/>
    <w:rsid w:val="001D1E74"/>
    <w:rsid w:val="001D21AD"/>
    <w:rsid w:val="001D3905"/>
    <w:rsid w:val="001D39D9"/>
    <w:rsid w:val="001D3B7A"/>
    <w:rsid w:val="001D5635"/>
    <w:rsid w:val="001D5704"/>
    <w:rsid w:val="001D687D"/>
    <w:rsid w:val="001D7C38"/>
    <w:rsid w:val="001D7DFB"/>
    <w:rsid w:val="001E29DE"/>
    <w:rsid w:val="001E3321"/>
    <w:rsid w:val="001E3D30"/>
    <w:rsid w:val="001E58D2"/>
    <w:rsid w:val="001E6BF8"/>
    <w:rsid w:val="001E7829"/>
    <w:rsid w:val="001E7D98"/>
    <w:rsid w:val="001F0285"/>
    <w:rsid w:val="001F105D"/>
    <w:rsid w:val="001F1629"/>
    <w:rsid w:val="001F24C1"/>
    <w:rsid w:val="001F3BF0"/>
    <w:rsid w:val="001F448C"/>
    <w:rsid w:val="001F5028"/>
    <w:rsid w:val="001F7935"/>
    <w:rsid w:val="001F7ED3"/>
    <w:rsid w:val="002004CA"/>
    <w:rsid w:val="00201DD7"/>
    <w:rsid w:val="0020209C"/>
    <w:rsid w:val="00204241"/>
    <w:rsid w:val="00204F02"/>
    <w:rsid w:val="00205C50"/>
    <w:rsid w:val="00205ED7"/>
    <w:rsid w:val="002060C9"/>
    <w:rsid w:val="002078CA"/>
    <w:rsid w:val="002104AF"/>
    <w:rsid w:val="00211483"/>
    <w:rsid w:val="00211E06"/>
    <w:rsid w:val="00212F65"/>
    <w:rsid w:val="00213E87"/>
    <w:rsid w:val="00214B29"/>
    <w:rsid w:val="00214F03"/>
    <w:rsid w:val="00215B51"/>
    <w:rsid w:val="00215BF9"/>
    <w:rsid w:val="00216B98"/>
    <w:rsid w:val="00217726"/>
    <w:rsid w:val="00220321"/>
    <w:rsid w:val="002217AB"/>
    <w:rsid w:val="00221A70"/>
    <w:rsid w:val="002232CF"/>
    <w:rsid w:val="00223C60"/>
    <w:rsid w:val="00223F29"/>
    <w:rsid w:val="00223F5D"/>
    <w:rsid w:val="00224BE5"/>
    <w:rsid w:val="00224EBE"/>
    <w:rsid w:val="00225E53"/>
    <w:rsid w:val="00230500"/>
    <w:rsid w:val="00233DE4"/>
    <w:rsid w:val="00240487"/>
    <w:rsid w:val="00241451"/>
    <w:rsid w:val="00241895"/>
    <w:rsid w:val="0024487C"/>
    <w:rsid w:val="00244FE9"/>
    <w:rsid w:val="00245B25"/>
    <w:rsid w:val="00245EB2"/>
    <w:rsid w:val="00251634"/>
    <w:rsid w:val="002523BB"/>
    <w:rsid w:val="002530D6"/>
    <w:rsid w:val="002539E0"/>
    <w:rsid w:val="00254FA8"/>
    <w:rsid w:val="00256597"/>
    <w:rsid w:val="002579E9"/>
    <w:rsid w:val="00257FD5"/>
    <w:rsid w:val="0026215C"/>
    <w:rsid w:val="0026310A"/>
    <w:rsid w:val="002642D2"/>
    <w:rsid w:val="00264AB6"/>
    <w:rsid w:val="002653B2"/>
    <w:rsid w:val="00266F78"/>
    <w:rsid w:val="002677A4"/>
    <w:rsid w:val="002678A8"/>
    <w:rsid w:val="0027040A"/>
    <w:rsid w:val="00270994"/>
    <w:rsid w:val="00271EEC"/>
    <w:rsid w:val="0027288F"/>
    <w:rsid w:val="00274C55"/>
    <w:rsid w:val="002754F1"/>
    <w:rsid w:val="00275FE0"/>
    <w:rsid w:val="00283346"/>
    <w:rsid w:val="002850FE"/>
    <w:rsid w:val="00286685"/>
    <w:rsid w:val="002874EF"/>
    <w:rsid w:val="00287D94"/>
    <w:rsid w:val="00290062"/>
    <w:rsid w:val="0029078B"/>
    <w:rsid w:val="002908FA"/>
    <w:rsid w:val="00291208"/>
    <w:rsid w:val="00292586"/>
    <w:rsid w:val="00292B85"/>
    <w:rsid w:val="00292EB6"/>
    <w:rsid w:val="002936E0"/>
    <w:rsid w:val="002955D9"/>
    <w:rsid w:val="00295814"/>
    <w:rsid w:val="00295A5C"/>
    <w:rsid w:val="00297282"/>
    <w:rsid w:val="002A0616"/>
    <w:rsid w:val="002A1D5E"/>
    <w:rsid w:val="002A204C"/>
    <w:rsid w:val="002A27BB"/>
    <w:rsid w:val="002A2AF3"/>
    <w:rsid w:val="002A351B"/>
    <w:rsid w:val="002A3B9E"/>
    <w:rsid w:val="002A6F27"/>
    <w:rsid w:val="002A755F"/>
    <w:rsid w:val="002B0AF1"/>
    <w:rsid w:val="002B194D"/>
    <w:rsid w:val="002B2FD1"/>
    <w:rsid w:val="002B34E2"/>
    <w:rsid w:val="002B4237"/>
    <w:rsid w:val="002B526E"/>
    <w:rsid w:val="002B6093"/>
    <w:rsid w:val="002B69CC"/>
    <w:rsid w:val="002B6C32"/>
    <w:rsid w:val="002B7FC4"/>
    <w:rsid w:val="002C15AE"/>
    <w:rsid w:val="002C2205"/>
    <w:rsid w:val="002C2207"/>
    <w:rsid w:val="002C3E59"/>
    <w:rsid w:val="002C4714"/>
    <w:rsid w:val="002C723E"/>
    <w:rsid w:val="002C74C9"/>
    <w:rsid w:val="002C7755"/>
    <w:rsid w:val="002D0681"/>
    <w:rsid w:val="002D0E72"/>
    <w:rsid w:val="002D1772"/>
    <w:rsid w:val="002D2A5C"/>
    <w:rsid w:val="002D2DA5"/>
    <w:rsid w:val="002D2EAA"/>
    <w:rsid w:val="002D3350"/>
    <w:rsid w:val="002D4B4B"/>
    <w:rsid w:val="002D55E5"/>
    <w:rsid w:val="002D5B05"/>
    <w:rsid w:val="002D699E"/>
    <w:rsid w:val="002D70D7"/>
    <w:rsid w:val="002D7625"/>
    <w:rsid w:val="002D7E79"/>
    <w:rsid w:val="002E1B5A"/>
    <w:rsid w:val="002E2A28"/>
    <w:rsid w:val="002E30BF"/>
    <w:rsid w:val="002E5300"/>
    <w:rsid w:val="002E57B6"/>
    <w:rsid w:val="002E6707"/>
    <w:rsid w:val="002F0531"/>
    <w:rsid w:val="002F1160"/>
    <w:rsid w:val="002F16E9"/>
    <w:rsid w:val="002F3D73"/>
    <w:rsid w:val="002F4972"/>
    <w:rsid w:val="002F598C"/>
    <w:rsid w:val="003006E6"/>
    <w:rsid w:val="003010DF"/>
    <w:rsid w:val="00302D8D"/>
    <w:rsid w:val="00303E2D"/>
    <w:rsid w:val="00304382"/>
    <w:rsid w:val="00304915"/>
    <w:rsid w:val="00304A71"/>
    <w:rsid w:val="00305968"/>
    <w:rsid w:val="00306EE2"/>
    <w:rsid w:val="00307456"/>
    <w:rsid w:val="003100D7"/>
    <w:rsid w:val="0031056D"/>
    <w:rsid w:val="00310BA4"/>
    <w:rsid w:val="00310E45"/>
    <w:rsid w:val="00312F11"/>
    <w:rsid w:val="003140FA"/>
    <w:rsid w:val="003160DD"/>
    <w:rsid w:val="003175A2"/>
    <w:rsid w:val="003214D1"/>
    <w:rsid w:val="00321AE1"/>
    <w:rsid w:val="00321CA1"/>
    <w:rsid w:val="00322693"/>
    <w:rsid w:val="00324229"/>
    <w:rsid w:val="00324446"/>
    <w:rsid w:val="00326190"/>
    <w:rsid w:val="00326F9C"/>
    <w:rsid w:val="003270F6"/>
    <w:rsid w:val="003303F8"/>
    <w:rsid w:val="00330D9D"/>
    <w:rsid w:val="00331570"/>
    <w:rsid w:val="003324AB"/>
    <w:rsid w:val="00332E22"/>
    <w:rsid w:val="00333793"/>
    <w:rsid w:val="0033435E"/>
    <w:rsid w:val="00334978"/>
    <w:rsid w:val="00337F40"/>
    <w:rsid w:val="00340E51"/>
    <w:rsid w:val="0034153F"/>
    <w:rsid w:val="00341564"/>
    <w:rsid w:val="00342D44"/>
    <w:rsid w:val="00343862"/>
    <w:rsid w:val="0034530B"/>
    <w:rsid w:val="00347B91"/>
    <w:rsid w:val="00347D37"/>
    <w:rsid w:val="00352E02"/>
    <w:rsid w:val="003530A1"/>
    <w:rsid w:val="00360DB0"/>
    <w:rsid w:val="00361042"/>
    <w:rsid w:val="00361644"/>
    <w:rsid w:val="00365438"/>
    <w:rsid w:val="003658EF"/>
    <w:rsid w:val="003659E6"/>
    <w:rsid w:val="00365C33"/>
    <w:rsid w:val="0036641B"/>
    <w:rsid w:val="003675A6"/>
    <w:rsid w:val="003703F4"/>
    <w:rsid w:val="00370D85"/>
    <w:rsid w:val="003714F3"/>
    <w:rsid w:val="003731D5"/>
    <w:rsid w:val="003736A6"/>
    <w:rsid w:val="00373806"/>
    <w:rsid w:val="00373B9A"/>
    <w:rsid w:val="00374F65"/>
    <w:rsid w:val="00376ED2"/>
    <w:rsid w:val="0038048F"/>
    <w:rsid w:val="0038131E"/>
    <w:rsid w:val="00381A4A"/>
    <w:rsid w:val="00382203"/>
    <w:rsid w:val="0038311A"/>
    <w:rsid w:val="00383B35"/>
    <w:rsid w:val="003873AA"/>
    <w:rsid w:val="00387404"/>
    <w:rsid w:val="003900BA"/>
    <w:rsid w:val="00390A29"/>
    <w:rsid w:val="00391022"/>
    <w:rsid w:val="00393844"/>
    <w:rsid w:val="00395A18"/>
    <w:rsid w:val="003973A5"/>
    <w:rsid w:val="003A109A"/>
    <w:rsid w:val="003A122F"/>
    <w:rsid w:val="003A22A8"/>
    <w:rsid w:val="003A22F6"/>
    <w:rsid w:val="003A282D"/>
    <w:rsid w:val="003A38F2"/>
    <w:rsid w:val="003A7576"/>
    <w:rsid w:val="003B00E7"/>
    <w:rsid w:val="003B056C"/>
    <w:rsid w:val="003B176C"/>
    <w:rsid w:val="003B1A2E"/>
    <w:rsid w:val="003B3C88"/>
    <w:rsid w:val="003B3F89"/>
    <w:rsid w:val="003B471A"/>
    <w:rsid w:val="003B59C6"/>
    <w:rsid w:val="003B5C20"/>
    <w:rsid w:val="003B7EC6"/>
    <w:rsid w:val="003C0182"/>
    <w:rsid w:val="003C01A8"/>
    <w:rsid w:val="003C048F"/>
    <w:rsid w:val="003C058C"/>
    <w:rsid w:val="003C1C1A"/>
    <w:rsid w:val="003C2B15"/>
    <w:rsid w:val="003C6378"/>
    <w:rsid w:val="003C763B"/>
    <w:rsid w:val="003C7DDE"/>
    <w:rsid w:val="003D05AF"/>
    <w:rsid w:val="003D05CB"/>
    <w:rsid w:val="003D185A"/>
    <w:rsid w:val="003D1F2A"/>
    <w:rsid w:val="003D21AE"/>
    <w:rsid w:val="003D233C"/>
    <w:rsid w:val="003D23B3"/>
    <w:rsid w:val="003D2D91"/>
    <w:rsid w:val="003D31D3"/>
    <w:rsid w:val="003D45EF"/>
    <w:rsid w:val="003D532F"/>
    <w:rsid w:val="003D5B2E"/>
    <w:rsid w:val="003E223C"/>
    <w:rsid w:val="003E27B6"/>
    <w:rsid w:val="003E2C45"/>
    <w:rsid w:val="003E482B"/>
    <w:rsid w:val="003E574A"/>
    <w:rsid w:val="003E6FDD"/>
    <w:rsid w:val="003E7127"/>
    <w:rsid w:val="003E7843"/>
    <w:rsid w:val="003F0AEB"/>
    <w:rsid w:val="003F21CB"/>
    <w:rsid w:val="003F2DB3"/>
    <w:rsid w:val="003F2FC2"/>
    <w:rsid w:val="003F329F"/>
    <w:rsid w:val="003F3FEA"/>
    <w:rsid w:val="003F4C41"/>
    <w:rsid w:val="003F6716"/>
    <w:rsid w:val="003F6B5B"/>
    <w:rsid w:val="003F7169"/>
    <w:rsid w:val="003F7B91"/>
    <w:rsid w:val="004001B5"/>
    <w:rsid w:val="004004F2"/>
    <w:rsid w:val="00401066"/>
    <w:rsid w:val="00401532"/>
    <w:rsid w:val="004030B9"/>
    <w:rsid w:val="004031F6"/>
    <w:rsid w:val="00405815"/>
    <w:rsid w:val="00405CA8"/>
    <w:rsid w:val="00407064"/>
    <w:rsid w:val="00412733"/>
    <w:rsid w:val="00414AE7"/>
    <w:rsid w:val="00414FBC"/>
    <w:rsid w:val="004169B9"/>
    <w:rsid w:val="00417586"/>
    <w:rsid w:val="004200BE"/>
    <w:rsid w:val="0042085F"/>
    <w:rsid w:val="00423BE4"/>
    <w:rsid w:val="00423D67"/>
    <w:rsid w:val="00424BB7"/>
    <w:rsid w:val="00424DC5"/>
    <w:rsid w:val="004256F1"/>
    <w:rsid w:val="00425774"/>
    <w:rsid w:val="004272A4"/>
    <w:rsid w:val="004278F9"/>
    <w:rsid w:val="0043001C"/>
    <w:rsid w:val="00431025"/>
    <w:rsid w:val="00431907"/>
    <w:rsid w:val="0043224D"/>
    <w:rsid w:val="004324C5"/>
    <w:rsid w:val="0043253C"/>
    <w:rsid w:val="00432855"/>
    <w:rsid w:val="0043481D"/>
    <w:rsid w:val="00434B30"/>
    <w:rsid w:val="00434C9E"/>
    <w:rsid w:val="00435087"/>
    <w:rsid w:val="004352AB"/>
    <w:rsid w:val="00435924"/>
    <w:rsid w:val="0044043B"/>
    <w:rsid w:val="00440C15"/>
    <w:rsid w:val="00441E89"/>
    <w:rsid w:val="0044224E"/>
    <w:rsid w:val="00442615"/>
    <w:rsid w:val="00442D12"/>
    <w:rsid w:val="00443326"/>
    <w:rsid w:val="00443345"/>
    <w:rsid w:val="004435F3"/>
    <w:rsid w:val="0044366C"/>
    <w:rsid w:val="00444C2C"/>
    <w:rsid w:val="00444E6E"/>
    <w:rsid w:val="00445568"/>
    <w:rsid w:val="0044750F"/>
    <w:rsid w:val="004478B6"/>
    <w:rsid w:val="00447E03"/>
    <w:rsid w:val="004503EB"/>
    <w:rsid w:val="00450E92"/>
    <w:rsid w:val="00451BEB"/>
    <w:rsid w:val="0045237E"/>
    <w:rsid w:val="004549E2"/>
    <w:rsid w:val="00455104"/>
    <w:rsid w:val="00455861"/>
    <w:rsid w:val="00456DF0"/>
    <w:rsid w:val="00456E21"/>
    <w:rsid w:val="00457711"/>
    <w:rsid w:val="00457E45"/>
    <w:rsid w:val="00460344"/>
    <w:rsid w:val="0046319C"/>
    <w:rsid w:val="00464035"/>
    <w:rsid w:val="004640BD"/>
    <w:rsid w:val="004647E1"/>
    <w:rsid w:val="004657A7"/>
    <w:rsid w:val="004662A7"/>
    <w:rsid w:val="004666B4"/>
    <w:rsid w:val="00467DF8"/>
    <w:rsid w:val="00467FB4"/>
    <w:rsid w:val="00470658"/>
    <w:rsid w:val="004706C2"/>
    <w:rsid w:val="00472441"/>
    <w:rsid w:val="00472703"/>
    <w:rsid w:val="0047443D"/>
    <w:rsid w:val="00475141"/>
    <w:rsid w:val="00475F0B"/>
    <w:rsid w:val="00476FB4"/>
    <w:rsid w:val="004802A5"/>
    <w:rsid w:val="00482946"/>
    <w:rsid w:val="00485DFC"/>
    <w:rsid w:val="00486795"/>
    <w:rsid w:val="00487605"/>
    <w:rsid w:val="00487BA0"/>
    <w:rsid w:val="00487F05"/>
    <w:rsid w:val="00490CD0"/>
    <w:rsid w:val="00492BAE"/>
    <w:rsid w:val="0049302E"/>
    <w:rsid w:val="00494100"/>
    <w:rsid w:val="0049443A"/>
    <w:rsid w:val="00494AB4"/>
    <w:rsid w:val="0049644E"/>
    <w:rsid w:val="004A0709"/>
    <w:rsid w:val="004A0D5A"/>
    <w:rsid w:val="004A1732"/>
    <w:rsid w:val="004A2883"/>
    <w:rsid w:val="004A2AFD"/>
    <w:rsid w:val="004A4013"/>
    <w:rsid w:val="004A42B3"/>
    <w:rsid w:val="004A4814"/>
    <w:rsid w:val="004A49B1"/>
    <w:rsid w:val="004A4D98"/>
    <w:rsid w:val="004A4E03"/>
    <w:rsid w:val="004A4F14"/>
    <w:rsid w:val="004A76D6"/>
    <w:rsid w:val="004B097B"/>
    <w:rsid w:val="004B1567"/>
    <w:rsid w:val="004B2429"/>
    <w:rsid w:val="004B4723"/>
    <w:rsid w:val="004B62B9"/>
    <w:rsid w:val="004B6E66"/>
    <w:rsid w:val="004B7396"/>
    <w:rsid w:val="004B78B9"/>
    <w:rsid w:val="004B78F7"/>
    <w:rsid w:val="004B7C8C"/>
    <w:rsid w:val="004C0FCF"/>
    <w:rsid w:val="004C14F5"/>
    <w:rsid w:val="004C1C6B"/>
    <w:rsid w:val="004C2B0D"/>
    <w:rsid w:val="004C2D94"/>
    <w:rsid w:val="004C2DC0"/>
    <w:rsid w:val="004C3B59"/>
    <w:rsid w:val="004C4440"/>
    <w:rsid w:val="004C5024"/>
    <w:rsid w:val="004C5FCD"/>
    <w:rsid w:val="004C60FE"/>
    <w:rsid w:val="004D0EA0"/>
    <w:rsid w:val="004D1596"/>
    <w:rsid w:val="004D1B29"/>
    <w:rsid w:val="004D2065"/>
    <w:rsid w:val="004D2673"/>
    <w:rsid w:val="004D468B"/>
    <w:rsid w:val="004D477D"/>
    <w:rsid w:val="004D479E"/>
    <w:rsid w:val="004D4941"/>
    <w:rsid w:val="004D4995"/>
    <w:rsid w:val="004D4C1A"/>
    <w:rsid w:val="004D5939"/>
    <w:rsid w:val="004E1FD0"/>
    <w:rsid w:val="004E2131"/>
    <w:rsid w:val="004E2A0C"/>
    <w:rsid w:val="004E2F2C"/>
    <w:rsid w:val="004E44AB"/>
    <w:rsid w:val="004E4D29"/>
    <w:rsid w:val="004E670F"/>
    <w:rsid w:val="004E7971"/>
    <w:rsid w:val="004F01DE"/>
    <w:rsid w:val="004F20C6"/>
    <w:rsid w:val="004F27FC"/>
    <w:rsid w:val="004F37CB"/>
    <w:rsid w:val="004F5F0A"/>
    <w:rsid w:val="004F70A4"/>
    <w:rsid w:val="004F7D99"/>
    <w:rsid w:val="004F7F54"/>
    <w:rsid w:val="005008E5"/>
    <w:rsid w:val="00505189"/>
    <w:rsid w:val="005107C9"/>
    <w:rsid w:val="005108EF"/>
    <w:rsid w:val="00510DE4"/>
    <w:rsid w:val="0051122C"/>
    <w:rsid w:val="00511DE3"/>
    <w:rsid w:val="00512AE0"/>
    <w:rsid w:val="00512CB9"/>
    <w:rsid w:val="005132FD"/>
    <w:rsid w:val="005138AD"/>
    <w:rsid w:val="00513C01"/>
    <w:rsid w:val="00513D76"/>
    <w:rsid w:val="00514677"/>
    <w:rsid w:val="00516101"/>
    <w:rsid w:val="00517C2F"/>
    <w:rsid w:val="0052069C"/>
    <w:rsid w:val="005206F7"/>
    <w:rsid w:val="005209A4"/>
    <w:rsid w:val="00521350"/>
    <w:rsid w:val="00521CB3"/>
    <w:rsid w:val="00521E2B"/>
    <w:rsid w:val="00523D95"/>
    <w:rsid w:val="00524ACC"/>
    <w:rsid w:val="005253FA"/>
    <w:rsid w:val="005258E5"/>
    <w:rsid w:val="00526368"/>
    <w:rsid w:val="005265B2"/>
    <w:rsid w:val="00530A7E"/>
    <w:rsid w:val="0053108A"/>
    <w:rsid w:val="00531168"/>
    <w:rsid w:val="0053164E"/>
    <w:rsid w:val="00532B4B"/>
    <w:rsid w:val="00533663"/>
    <w:rsid w:val="00533F22"/>
    <w:rsid w:val="00534118"/>
    <w:rsid w:val="00534737"/>
    <w:rsid w:val="0053560B"/>
    <w:rsid w:val="0053726F"/>
    <w:rsid w:val="00541A88"/>
    <w:rsid w:val="00541C75"/>
    <w:rsid w:val="005421B4"/>
    <w:rsid w:val="005426D4"/>
    <w:rsid w:val="00543A23"/>
    <w:rsid w:val="00544FFC"/>
    <w:rsid w:val="00550453"/>
    <w:rsid w:val="00550896"/>
    <w:rsid w:val="00550AD4"/>
    <w:rsid w:val="00552BDA"/>
    <w:rsid w:val="00554570"/>
    <w:rsid w:val="00555B77"/>
    <w:rsid w:val="00556427"/>
    <w:rsid w:val="005577EC"/>
    <w:rsid w:val="00560309"/>
    <w:rsid w:val="005630FC"/>
    <w:rsid w:val="00564141"/>
    <w:rsid w:val="00565108"/>
    <w:rsid w:val="00565676"/>
    <w:rsid w:val="00567954"/>
    <w:rsid w:val="00572A8D"/>
    <w:rsid w:val="00572C2D"/>
    <w:rsid w:val="00573668"/>
    <w:rsid w:val="005743F8"/>
    <w:rsid w:val="005744F5"/>
    <w:rsid w:val="00575CEC"/>
    <w:rsid w:val="005842B7"/>
    <w:rsid w:val="005847C0"/>
    <w:rsid w:val="0058497B"/>
    <w:rsid w:val="00586428"/>
    <w:rsid w:val="00586748"/>
    <w:rsid w:val="00586A84"/>
    <w:rsid w:val="00586F6F"/>
    <w:rsid w:val="005877C8"/>
    <w:rsid w:val="00590D55"/>
    <w:rsid w:val="005917A3"/>
    <w:rsid w:val="00592AAF"/>
    <w:rsid w:val="00592D27"/>
    <w:rsid w:val="00593241"/>
    <w:rsid w:val="005934AC"/>
    <w:rsid w:val="00593F5E"/>
    <w:rsid w:val="00594760"/>
    <w:rsid w:val="0059534F"/>
    <w:rsid w:val="00595350"/>
    <w:rsid w:val="0059731A"/>
    <w:rsid w:val="00597F2B"/>
    <w:rsid w:val="005A0564"/>
    <w:rsid w:val="005A1BB8"/>
    <w:rsid w:val="005A294F"/>
    <w:rsid w:val="005A2B20"/>
    <w:rsid w:val="005A2BDA"/>
    <w:rsid w:val="005A3FF6"/>
    <w:rsid w:val="005A4036"/>
    <w:rsid w:val="005A411F"/>
    <w:rsid w:val="005A475F"/>
    <w:rsid w:val="005A7253"/>
    <w:rsid w:val="005A7F2C"/>
    <w:rsid w:val="005B00B4"/>
    <w:rsid w:val="005B2DE4"/>
    <w:rsid w:val="005B3222"/>
    <w:rsid w:val="005B322B"/>
    <w:rsid w:val="005B363E"/>
    <w:rsid w:val="005B44A6"/>
    <w:rsid w:val="005B4E72"/>
    <w:rsid w:val="005B5A93"/>
    <w:rsid w:val="005B64F5"/>
    <w:rsid w:val="005B6575"/>
    <w:rsid w:val="005B6732"/>
    <w:rsid w:val="005C078E"/>
    <w:rsid w:val="005C10C8"/>
    <w:rsid w:val="005C3A3F"/>
    <w:rsid w:val="005C4396"/>
    <w:rsid w:val="005C45F3"/>
    <w:rsid w:val="005C5014"/>
    <w:rsid w:val="005D110E"/>
    <w:rsid w:val="005D1C06"/>
    <w:rsid w:val="005D2158"/>
    <w:rsid w:val="005D2223"/>
    <w:rsid w:val="005D54AA"/>
    <w:rsid w:val="005D7B48"/>
    <w:rsid w:val="005E0D15"/>
    <w:rsid w:val="005E0DA1"/>
    <w:rsid w:val="005E0EAF"/>
    <w:rsid w:val="005E0EF4"/>
    <w:rsid w:val="005E13B7"/>
    <w:rsid w:val="005E180B"/>
    <w:rsid w:val="005E2CF8"/>
    <w:rsid w:val="005E2DEC"/>
    <w:rsid w:val="005E367C"/>
    <w:rsid w:val="005E3BBB"/>
    <w:rsid w:val="005E483F"/>
    <w:rsid w:val="005E490A"/>
    <w:rsid w:val="005E5432"/>
    <w:rsid w:val="005E5524"/>
    <w:rsid w:val="005E62B3"/>
    <w:rsid w:val="005E6567"/>
    <w:rsid w:val="005E6ACA"/>
    <w:rsid w:val="005E6DB4"/>
    <w:rsid w:val="005E7AB9"/>
    <w:rsid w:val="005F0258"/>
    <w:rsid w:val="005F0DC0"/>
    <w:rsid w:val="005F20C4"/>
    <w:rsid w:val="005F2D9A"/>
    <w:rsid w:val="005F41EB"/>
    <w:rsid w:val="005F56A1"/>
    <w:rsid w:val="005F5B10"/>
    <w:rsid w:val="005F64BE"/>
    <w:rsid w:val="005F6AA7"/>
    <w:rsid w:val="005F7A51"/>
    <w:rsid w:val="0060049B"/>
    <w:rsid w:val="006006C8"/>
    <w:rsid w:val="0060103C"/>
    <w:rsid w:val="006011B6"/>
    <w:rsid w:val="006013CD"/>
    <w:rsid w:val="00601B4E"/>
    <w:rsid w:val="0060267E"/>
    <w:rsid w:val="00603E1F"/>
    <w:rsid w:val="00603EB0"/>
    <w:rsid w:val="006051BA"/>
    <w:rsid w:val="00605A88"/>
    <w:rsid w:val="00606A4F"/>
    <w:rsid w:val="0061088F"/>
    <w:rsid w:val="00611A25"/>
    <w:rsid w:val="00611DF1"/>
    <w:rsid w:val="00613722"/>
    <w:rsid w:val="006141DC"/>
    <w:rsid w:val="00614C66"/>
    <w:rsid w:val="00614F4C"/>
    <w:rsid w:val="00615C30"/>
    <w:rsid w:val="0061654D"/>
    <w:rsid w:val="00616974"/>
    <w:rsid w:val="00616FB1"/>
    <w:rsid w:val="006178EE"/>
    <w:rsid w:val="0061798D"/>
    <w:rsid w:val="00617E2D"/>
    <w:rsid w:val="00621AAD"/>
    <w:rsid w:val="006225A4"/>
    <w:rsid w:val="00623AF1"/>
    <w:rsid w:val="00623F92"/>
    <w:rsid w:val="00624A22"/>
    <w:rsid w:val="00624F2B"/>
    <w:rsid w:val="006255BA"/>
    <w:rsid w:val="00625977"/>
    <w:rsid w:val="00626433"/>
    <w:rsid w:val="006273B8"/>
    <w:rsid w:val="0062795D"/>
    <w:rsid w:val="0063096D"/>
    <w:rsid w:val="00631904"/>
    <w:rsid w:val="006329FE"/>
    <w:rsid w:val="006350D7"/>
    <w:rsid w:val="0063549C"/>
    <w:rsid w:val="0063584B"/>
    <w:rsid w:val="00637247"/>
    <w:rsid w:val="00637840"/>
    <w:rsid w:val="00637FD5"/>
    <w:rsid w:val="00640E83"/>
    <w:rsid w:val="00641426"/>
    <w:rsid w:val="00641CC8"/>
    <w:rsid w:val="006426A7"/>
    <w:rsid w:val="006435F7"/>
    <w:rsid w:val="00643FC8"/>
    <w:rsid w:val="00645586"/>
    <w:rsid w:val="00645916"/>
    <w:rsid w:val="00646284"/>
    <w:rsid w:val="00650303"/>
    <w:rsid w:val="0065276F"/>
    <w:rsid w:val="00652E7A"/>
    <w:rsid w:val="00653224"/>
    <w:rsid w:val="006565A1"/>
    <w:rsid w:val="006578D2"/>
    <w:rsid w:val="00657AF9"/>
    <w:rsid w:val="00657C73"/>
    <w:rsid w:val="00660DEA"/>
    <w:rsid w:val="006614B6"/>
    <w:rsid w:val="00661DF8"/>
    <w:rsid w:val="0066224E"/>
    <w:rsid w:val="00662427"/>
    <w:rsid w:val="00664480"/>
    <w:rsid w:val="0066519C"/>
    <w:rsid w:val="006651A9"/>
    <w:rsid w:val="006658B8"/>
    <w:rsid w:val="006664C0"/>
    <w:rsid w:val="0067150B"/>
    <w:rsid w:val="00673809"/>
    <w:rsid w:val="0067647A"/>
    <w:rsid w:val="006775FF"/>
    <w:rsid w:val="00681A3C"/>
    <w:rsid w:val="00683091"/>
    <w:rsid w:val="00683CAA"/>
    <w:rsid w:val="0068415E"/>
    <w:rsid w:val="006857C3"/>
    <w:rsid w:val="0068753F"/>
    <w:rsid w:val="0069002E"/>
    <w:rsid w:val="006915AC"/>
    <w:rsid w:val="00692636"/>
    <w:rsid w:val="00692FA3"/>
    <w:rsid w:val="0069377B"/>
    <w:rsid w:val="006940F1"/>
    <w:rsid w:val="006946CB"/>
    <w:rsid w:val="00695CBE"/>
    <w:rsid w:val="006A0C60"/>
    <w:rsid w:val="006A2899"/>
    <w:rsid w:val="006A4F03"/>
    <w:rsid w:val="006A5921"/>
    <w:rsid w:val="006A6D7D"/>
    <w:rsid w:val="006A7120"/>
    <w:rsid w:val="006B14BE"/>
    <w:rsid w:val="006B1D2B"/>
    <w:rsid w:val="006B1FF3"/>
    <w:rsid w:val="006B2C05"/>
    <w:rsid w:val="006B40EF"/>
    <w:rsid w:val="006B4276"/>
    <w:rsid w:val="006B4301"/>
    <w:rsid w:val="006B56BA"/>
    <w:rsid w:val="006B706F"/>
    <w:rsid w:val="006B7C0F"/>
    <w:rsid w:val="006C0229"/>
    <w:rsid w:val="006C055E"/>
    <w:rsid w:val="006C0669"/>
    <w:rsid w:val="006C1D96"/>
    <w:rsid w:val="006C35FF"/>
    <w:rsid w:val="006C4D90"/>
    <w:rsid w:val="006C5314"/>
    <w:rsid w:val="006C5863"/>
    <w:rsid w:val="006C5ED7"/>
    <w:rsid w:val="006C6EB2"/>
    <w:rsid w:val="006D0BC9"/>
    <w:rsid w:val="006D1455"/>
    <w:rsid w:val="006D1C7C"/>
    <w:rsid w:val="006D1C92"/>
    <w:rsid w:val="006D1F67"/>
    <w:rsid w:val="006D2391"/>
    <w:rsid w:val="006D28E5"/>
    <w:rsid w:val="006D2EB5"/>
    <w:rsid w:val="006D2EE2"/>
    <w:rsid w:val="006D365D"/>
    <w:rsid w:val="006D4F06"/>
    <w:rsid w:val="006D6650"/>
    <w:rsid w:val="006E082D"/>
    <w:rsid w:val="006E0A1D"/>
    <w:rsid w:val="006E0D9A"/>
    <w:rsid w:val="006E0EC8"/>
    <w:rsid w:val="006E1FB3"/>
    <w:rsid w:val="006E2472"/>
    <w:rsid w:val="006E3C58"/>
    <w:rsid w:val="006E425B"/>
    <w:rsid w:val="006E5F88"/>
    <w:rsid w:val="006F09D8"/>
    <w:rsid w:val="006F12BB"/>
    <w:rsid w:val="006F15CB"/>
    <w:rsid w:val="006F296E"/>
    <w:rsid w:val="006F2BCB"/>
    <w:rsid w:val="006F4443"/>
    <w:rsid w:val="006F44E9"/>
    <w:rsid w:val="006F4BE5"/>
    <w:rsid w:val="006F7287"/>
    <w:rsid w:val="006F72E0"/>
    <w:rsid w:val="006F7F1C"/>
    <w:rsid w:val="00701702"/>
    <w:rsid w:val="00701D03"/>
    <w:rsid w:val="007022F2"/>
    <w:rsid w:val="00702A35"/>
    <w:rsid w:val="00702D9B"/>
    <w:rsid w:val="007034ED"/>
    <w:rsid w:val="00704215"/>
    <w:rsid w:val="00705BC7"/>
    <w:rsid w:val="00706CCB"/>
    <w:rsid w:val="00706EA5"/>
    <w:rsid w:val="00710780"/>
    <w:rsid w:val="007107C6"/>
    <w:rsid w:val="00710914"/>
    <w:rsid w:val="0071135B"/>
    <w:rsid w:val="007116F5"/>
    <w:rsid w:val="00712379"/>
    <w:rsid w:val="007139A3"/>
    <w:rsid w:val="0071542E"/>
    <w:rsid w:val="007156DA"/>
    <w:rsid w:val="00715C69"/>
    <w:rsid w:val="00715D96"/>
    <w:rsid w:val="007171AF"/>
    <w:rsid w:val="00717CF9"/>
    <w:rsid w:val="0072075F"/>
    <w:rsid w:val="00721CCA"/>
    <w:rsid w:val="00722F6A"/>
    <w:rsid w:val="00723906"/>
    <w:rsid w:val="00723E00"/>
    <w:rsid w:val="00725669"/>
    <w:rsid w:val="007268CE"/>
    <w:rsid w:val="0072711B"/>
    <w:rsid w:val="00731CA2"/>
    <w:rsid w:val="00731F8D"/>
    <w:rsid w:val="00732AB9"/>
    <w:rsid w:val="00734441"/>
    <w:rsid w:val="00734F2F"/>
    <w:rsid w:val="0073585C"/>
    <w:rsid w:val="00735C54"/>
    <w:rsid w:val="00735FF7"/>
    <w:rsid w:val="00736841"/>
    <w:rsid w:val="00736DF8"/>
    <w:rsid w:val="00736EE4"/>
    <w:rsid w:val="00736F15"/>
    <w:rsid w:val="00737999"/>
    <w:rsid w:val="007379E9"/>
    <w:rsid w:val="00737BCE"/>
    <w:rsid w:val="00741786"/>
    <w:rsid w:val="00743EE8"/>
    <w:rsid w:val="00744929"/>
    <w:rsid w:val="00744F31"/>
    <w:rsid w:val="007456A3"/>
    <w:rsid w:val="00745D3A"/>
    <w:rsid w:val="00747EEB"/>
    <w:rsid w:val="0075020F"/>
    <w:rsid w:val="00750560"/>
    <w:rsid w:val="00750921"/>
    <w:rsid w:val="007512FF"/>
    <w:rsid w:val="007521B4"/>
    <w:rsid w:val="00753B82"/>
    <w:rsid w:val="007551B8"/>
    <w:rsid w:val="00755383"/>
    <w:rsid w:val="00756455"/>
    <w:rsid w:val="0075707A"/>
    <w:rsid w:val="00760FF3"/>
    <w:rsid w:val="0076183A"/>
    <w:rsid w:val="00762876"/>
    <w:rsid w:val="00762C7C"/>
    <w:rsid w:val="00763749"/>
    <w:rsid w:val="00763E66"/>
    <w:rsid w:val="00764E35"/>
    <w:rsid w:val="00766335"/>
    <w:rsid w:val="0076777B"/>
    <w:rsid w:val="00767F9E"/>
    <w:rsid w:val="007703DF"/>
    <w:rsid w:val="007705C9"/>
    <w:rsid w:val="00770702"/>
    <w:rsid w:val="00771DDA"/>
    <w:rsid w:val="00772883"/>
    <w:rsid w:val="00774EA5"/>
    <w:rsid w:val="00775516"/>
    <w:rsid w:val="007764EB"/>
    <w:rsid w:val="00776899"/>
    <w:rsid w:val="00776C35"/>
    <w:rsid w:val="00777CCE"/>
    <w:rsid w:val="00781552"/>
    <w:rsid w:val="007817ED"/>
    <w:rsid w:val="00781A31"/>
    <w:rsid w:val="00781BAA"/>
    <w:rsid w:val="00781BB5"/>
    <w:rsid w:val="0078289F"/>
    <w:rsid w:val="00784B1F"/>
    <w:rsid w:val="00785EF2"/>
    <w:rsid w:val="007869DF"/>
    <w:rsid w:val="007916EB"/>
    <w:rsid w:val="00791732"/>
    <w:rsid w:val="00793225"/>
    <w:rsid w:val="0079326F"/>
    <w:rsid w:val="00793748"/>
    <w:rsid w:val="00793953"/>
    <w:rsid w:val="0079431F"/>
    <w:rsid w:val="007976F3"/>
    <w:rsid w:val="00797DC3"/>
    <w:rsid w:val="007A0C6C"/>
    <w:rsid w:val="007A0D6C"/>
    <w:rsid w:val="007A0F3E"/>
    <w:rsid w:val="007A2253"/>
    <w:rsid w:val="007A2F6E"/>
    <w:rsid w:val="007A44A0"/>
    <w:rsid w:val="007A5CCF"/>
    <w:rsid w:val="007A6750"/>
    <w:rsid w:val="007A7638"/>
    <w:rsid w:val="007A7BB8"/>
    <w:rsid w:val="007B19D5"/>
    <w:rsid w:val="007B1B28"/>
    <w:rsid w:val="007B2DB7"/>
    <w:rsid w:val="007B43CB"/>
    <w:rsid w:val="007B74C5"/>
    <w:rsid w:val="007B7905"/>
    <w:rsid w:val="007B7C84"/>
    <w:rsid w:val="007C0273"/>
    <w:rsid w:val="007C0FAE"/>
    <w:rsid w:val="007C20A9"/>
    <w:rsid w:val="007C259B"/>
    <w:rsid w:val="007C2CA1"/>
    <w:rsid w:val="007C3722"/>
    <w:rsid w:val="007C3ADA"/>
    <w:rsid w:val="007C3F43"/>
    <w:rsid w:val="007C4797"/>
    <w:rsid w:val="007C53E7"/>
    <w:rsid w:val="007C5627"/>
    <w:rsid w:val="007C58F3"/>
    <w:rsid w:val="007C5DB9"/>
    <w:rsid w:val="007C69DE"/>
    <w:rsid w:val="007D0E78"/>
    <w:rsid w:val="007D13E0"/>
    <w:rsid w:val="007D17A1"/>
    <w:rsid w:val="007D3E20"/>
    <w:rsid w:val="007D4AD5"/>
    <w:rsid w:val="007D6466"/>
    <w:rsid w:val="007D67CB"/>
    <w:rsid w:val="007D68B2"/>
    <w:rsid w:val="007D738D"/>
    <w:rsid w:val="007E01C4"/>
    <w:rsid w:val="007E3996"/>
    <w:rsid w:val="007E3BE6"/>
    <w:rsid w:val="007E4690"/>
    <w:rsid w:val="007E4E12"/>
    <w:rsid w:val="007E59B6"/>
    <w:rsid w:val="007E6CA9"/>
    <w:rsid w:val="007E732F"/>
    <w:rsid w:val="007E7668"/>
    <w:rsid w:val="007E7E2D"/>
    <w:rsid w:val="007E7F1D"/>
    <w:rsid w:val="007F10FF"/>
    <w:rsid w:val="007F1E33"/>
    <w:rsid w:val="007F4FD7"/>
    <w:rsid w:val="007F580A"/>
    <w:rsid w:val="007F5EF6"/>
    <w:rsid w:val="007F6829"/>
    <w:rsid w:val="008000A6"/>
    <w:rsid w:val="00800576"/>
    <w:rsid w:val="008015BF"/>
    <w:rsid w:val="008019BF"/>
    <w:rsid w:val="00801DCA"/>
    <w:rsid w:val="008024A7"/>
    <w:rsid w:val="0080278C"/>
    <w:rsid w:val="0080320B"/>
    <w:rsid w:val="0080410A"/>
    <w:rsid w:val="00804397"/>
    <w:rsid w:val="00804409"/>
    <w:rsid w:val="00805A1D"/>
    <w:rsid w:val="00805AF9"/>
    <w:rsid w:val="00806430"/>
    <w:rsid w:val="00806982"/>
    <w:rsid w:val="008070EB"/>
    <w:rsid w:val="008103DA"/>
    <w:rsid w:val="00810602"/>
    <w:rsid w:val="0081065D"/>
    <w:rsid w:val="00810E36"/>
    <w:rsid w:val="008111D5"/>
    <w:rsid w:val="0081175C"/>
    <w:rsid w:val="00813080"/>
    <w:rsid w:val="00813781"/>
    <w:rsid w:val="00813A00"/>
    <w:rsid w:val="00814045"/>
    <w:rsid w:val="00814085"/>
    <w:rsid w:val="00814DE6"/>
    <w:rsid w:val="0081781F"/>
    <w:rsid w:val="00817B63"/>
    <w:rsid w:val="008201B2"/>
    <w:rsid w:val="008219C7"/>
    <w:rsid w:val="00822197"/>
    <w:rsid w:val="008245C2"/>
    <w:rsid w:val="00824989"/>
    <w:rsid w:val="0082555A"/>
    <w:rsid w:val="0082638B"/>
    <w:rsid w:val="008269A4"/>
    <w:rsid w:val="00827E93"/>
    <w:rsid w:val="00831CCB"/>
    <w:rsid w:val="008323C8"/>
    <w:rsid w:val="008324AA"/>
    <w:rsid w:val="0083276B"/>
    <w:rsid w:val="0083314D"/>
    <w:rsid w:val="008338B0"/>
    <w:rsid w:val="00833DFE"/>
    <w:rsid w:val="00835E69"/>
    <w:rsid w:val="00836290"/>
    <w:rsid w:val="00836364"/>
    <w:rsid w:val="008364E4"/>
    <w:rsid w:val="008369D8"/>
    <w:rsid w:val="008407EC"/>
    <w:rsid w:val="00840C44"/>
    <w:rsid w:val="008415BE"/>
    <w:rsid w:val="00842940"/>
    <w:rsid w:val="0084298A"/>
    <w:rsid w:val="0084430E"/>
    <w:rsid w:val="00846688"/>
    <w:rsid w:val="00847581"/>
    <w:rsid w:val="00850659"/>
    <w:rsid w:val="00851329"/>
    <w:rsid w:val="00851490"/>
    <w:rsid w:val="00851968"/>
    <w:rsid w:val="00851F3E"/>
    <w:rsid w:val="00853CC1"/>
    <w:rsid w:val="0085418D"/>
    <w:rsid w:val="00854627"/>
    <w:rsid w:val="00854923"/>
    <w:rsid w:val="008549EB"/>
    <w:rsid w:val="00856F44"/>
    <w:rsid w:val="008579B2"/>
    <w:rsid w:val="008609D6"/>
    <w:rsid w:val="00862B26"/>
    <w:rsid w:val="0086318D"/>
    <w:rsid w:val="00864298"/>
    <w:rsid w:val="00864BA1"/>
    <w:rsid w:val="00865178"/>
    <w:rsid w:val="00865599"/>
    <w:rsid w:val="00865DFA"/>
    <w:rsid w:val="0086672C"/>
    <w:rsid w:val="00866CD6"/>
    <w:rsid w:val="00866F92"/>
    <w:rsid w:val="00867272"/>
    <w:rsid w:val="00867481"/>
    <w:rsid w:val="008703E4"/>
    <w:rsid w:val="00870E9B"/>
    <w:rsid w:val="0087151E"/>
    <w:rsid w:val="00871966"/>
    <w:rsid w:val="008757C8"/>
    <w:rsid w:val="008779AA"/>
    <w:rsid w:val="00880D5D"/>
    <w:rsid w:val="00881993"/>
    <w:rsid w:val="00883411"/>
    <w:rsid w:val="00883C6E"/>
    <w:rsid w:val="00883D4D"/>
    <w:rsid w:val="00884172"/>
    <w:rsid w:val="00884CAE"/>
    <w:rsid w:val="0088525A"/>
    <w:rsid w:val="00885FCE"/>
    <w:rsid w:val="008909AC"/>
    <w:rsid w:val="008931C8"/>
    <w:rsid w:val="0089510C"/>
    <w:rsid w:val="00895CC4"/>
    <w:rsid w:val="0089630E"/>
    <w:rsid w:val="00897A68"/>
    <w:rsid w:val="008A099E"/>
    <w:rsid w:val="008A0E02"/>
    <w:rsid w:val="008A7A1E"/>
    <w:rsid w:val="008A7A6C"/>
    <w:rsid w:val="008A7D59"/>
    <w:rsid w:val="008B0667"/>
    <w:rsid w:val="008B07A7"/>
    <w:rsid w:val="008B21E2"/>
    <w:rsid w:val="008B2F64"/>
    <w:rsid w:val="008B3162"/>
    <w:rsid w:val="008B32D5"/>
    <w:rsid w:val="008B3D56"/>
    <w:rsid w:val="008B3DE8"/>
    <w:rsid w:val="008B5AAC"/>
    <w:rsid w:val="008C0C9A"/>
    <w:rsid w:val="008C1402"/>
    <w:rsid w:val="008C190A"/>
    <w:rsid w:val="008C2131"/>
    <w:rsid w:val="008C491D"/>
    <w:rsid w:val="008C51F1"/>
    <w:rsid w:val="008C68D5"/>
    <w:rsid w:val="008C6AA5"/>
    <w:rsid w:val="008C6EC6"/>
    <w:rsid w:val="008C74F7"/>
    <w:rsid w:val="008D0AD1"/>
    <w:rsid w:val="008D21E2"/>
    <w:rsid w:val="008D254D"/>
    <w:rsid w:val="008D2792"/>
    <w:rsid w:val="008D3BDE"/>
    <w:rsid w:val="008D4B9E"/>
    <w:rsid w:val="008D7003"/>
    <w:rsid w:val="008E0C1B"/>
    <w:rsid w:val="008E0D92"/>
    <w:rsid w:val="008E127E"/>
    <w:rsid w:val="008E18BD"/>
    <w:rsid w:val="008E2DD4"/>
    <w:rsid w:val="008E4770"/>
    <w:rsid w:val="008E4AAD"/>
    <w:rsid w:val="008E55A0"/>
    <w:rsid w:val="008E56D0"/>
    <w:rsid w:val="008E5C22"/>
    <w:rsid w:val="008E6B14"/>
    <w:rsid w:val="008F00CE"/>
    <w:rsid w:val="008F11D5"/>
    <w:rsid w:val="008F14DC"/>
    <w:rsid w:val="008F28CB"/>
    <w:rsid w:val="008F3343"/>
    <w:rsid w:val="008F37F7"/>
    <w:rsid w:val="008F54B0"/>
    <w:rsid w:val="008F5F66"/>
    <w:rsid w:val="008F71C4"/>
    <w:rsid w:val="008F7E3D"/>
    <w:rsid w:val="00900279"/>
    <w:rsid w:val="00900A6E"/>
    <w:rsid w:val="00900E1E"/>
    <w:rsid w:val="00902421"/>
    <w:rsid w:val="00902A73"/>
    <w:rsid w:val="00902FBE"/>
    <w:rsid w:val="009030E2"/>
    <w:rsid w:val="009043E5"/>
    <w:rsid w:val="009046F7"/>
    <w:rsid w:val="0090499D"/>
    <w:rsid w:val="00905AE8"/>
    <w:rsid w:val="0090661B"/>
    <w:rsid w:val="0090737C"/>
    <w:rsid w:val="009104A5"/>
    <w:rsid w:val="00912020"/>
    <w:rsid w:val="0091401F"/>
    <w:rsid w:val="009152D9"/>
    <w:rsid w:val="00915B25"/>
    <w:rsid w:val="009162DE"/>
    <w:rsid w:val="009176F8"/>
    <w:rsid w:val="009176FD"/>
    <w:rsid w:val="009178EA"/>
    <w:rsid w:val="00917C37"/>
    <w:rsid w:val="00920E5A"/>
    <w:rsid w:val="00921482"/>
    <w:rsid w:val="0092179B"/>
    <w:rsid w:val="00921DD3"/>
    <w:rsid w:val="00922208"/>
    <w:rsid w:val="009222A4"/>
    <w:rsid w:val="009223D1"/>
    <w:rsid w:val="009227D7"/>
    <w:rsid w:val="009228A8"/>
    <w:rsid w:val="00923473"/>
    <w:rsid w:val="009252DB"/>
    <w:rsid w:val="00925709"/>
    <w:rsid w:val="00925A46"/>
    <w:rsid w:val="00926354"/>
    <w:rsid w:val="0092741C"/>
    <w:rsid w:val="0093012F"/>
    <w:rsid w:val="009319FF"/>
    <w:rsid w:val="00931A05"/>
    <w:rsid w:val="009321F2"/>
    <w:rsid w:val="00932BF4"/>
    <w:rsid w:val="00933471"/>
    <w:rsid w:val="0093367B"/>
    <w:rsid w:val="00934801"/>
    <w:rsid w:val="00935493"/>
    <w:rsid w:val="00935C65"/>
    <w:rsid w:val="00935C7F"/>
    <w:rsid w:val="00936935"/>
    <w:rsid w:val="00936B85"/>
    <w:rsid w:val="00937875"/>
    <w:rsid w:val="00940978"/>
    <w:rsid w:val="00942AEB"/>
    <w:rsid w:val="00942CD0"/>
    <w:rsid w:val="00942D06"/>
    <w:rsid w:val="009433E6"/>
    <w:rsid w:val="00943B0E"/>
    <w:rsid w:val="0094428E"/>
    <w:rsid w:val="0094447E"/>
    <w:rsid w:val="00945AD5"/>
    <w:rsid w:val="00946208"/>
    <w:rsid w:val="00946A6D"/>
    <w:rsid w:val="009504F8"/>
    <w:rsid w:val="00951E61"/>
    <w:rsid w:val="009531BE"/>
    <w:rsid w:val="009544E2"/>
    <w:rsid w:val="00955AC6"/>
    <w:rsid w:val="00957067"/>
    <w:rsid w:val="00960FEB"/>
    <w:rsid w:val="0096149C"/>
    <w:rsid w:val="00961614"/>
    <w:rsid w:val="00961802"/>
    <w:rsid w:val="00962731"/>
    <w:rsid w:val="00962969"/>
    <w:rsid w:val="00963292"/>
    <w:rsid w:val="00963E9A"/>
    <w:rsid w:val="009640C9"/>
    <w:rsid w:val="009663EA"/>
    <w:rsid w:val="00966F52"/>
    <w:rsid w:val="0096700A"/>
    <w:rsid w:val="009712CF"/>
    <w:rsid w:val="0097327D"/>
    <w:rsid w:val="00973A95"/>
    <w:rsid w:val="00974B6B"/>
    <w:rsid w:val="009756EA"/>
    <w:rsid w:val="0097617F"/>
    <w:rsid w:val="009774B8"/>
    <w:rsid w:val="00981580"/>
    <w:rsid w:val="009815E0"/>
    <w:rsid w:val="00983B0E"/>
    <w:rsid w:val="00983B54"/>
    <w:rsid w:val="00984E88"/>
    <w:rsid w:val="00985D45"/>
    <w:rsid w:val="009865EF"/>
    <w:rsid w:val="009866EF"/>
    <w:rsid w:val="009878C8"/>
    <w:rsid w:val="00987C52"/>
    <w:rsid w:val="00987CD9"/>
    <w:rsid w:val="0099046A"/>
    <w:rsid w:val="009904A3"/>
    <w:rsid w:val="009930FE"/>
    <w:rsid w:val="00994A28"/>
    <w:rsid w:val="0099511F"/>
    <w:rsid w:val="00996E2B"/>
    <w:rsid w:val="0099714A"/>
    <w:rsid w:val="009977A1"/>
    <w:rsid w:val="00997C7E"/>
    <w:rsid w:val="009A1522"/>
    <w:rsid w:val="009A1BAB"/>
    <w:rsid w:val="009A1E4B"/>
    <w:rsid w:val="009A2C5D"/>
    <w:rsid w:val="009A5B66"/>
    <w:rsid w:val="009A5E66"/>
    <w:rsid w:val="009A5F87"/>
    <w:rsid w:val="009A6882"/>
    <w:rsid w:val="009A7238"/>
    <w:rsid w:val="009A7652"/>
    <w:rsid w:val="009A79A8"/>
    <w:rsid w:val="009B036C"/>
    <w:rsid w:val="009B0CC3"/>
    <w:rsid w:val="009B10A8"/>
    <w:rsid w:val="009B502D"/>
    <w:rsid w:val="009B515B"/>
    <w:rsid w:val="009B54AE"/>
    <w:rsid w:val="009B56FA"/>
    <w:rsid w:val="009B63DE"/>
    <w:rsid w:val="009C009A"/>
    <w:rsid w:val="009C3994"/>
    <w:rsid w:val="009C5DA5"/>
    <w:rsid w:val="009D0068"/>
    <w:rsid w:val="009D0851"/>
    <w:rsid w:val="009D159B"/>
    <w:rsid w:val="009D535A"/>
    <w:rsid w:val="009D6B0E"/>
    <w:rsid w:val="009D6BCF"/>
    <w:rsid w:val="009E03FE"/>
    <w:rsid w:val="009E1714"/>
    <w:rsid w:val="009E2C55"/>
    <w:rsid w:val="009E39A7"/>
    <w:rsid w:val="009E4EA9"/>
    <w:rsid w:val="009E526D"/>
    <w:rsid w:val="009E53EC"/>
    <w:rsid w:val="009E5F32"/>
    <w:rsid w:val="009E6783"/>
    <w:rsid w:val="009E696A"/>
    <w:rsid w:val="009F08D1"/>
    <w:rsid w:val="009F0E93"/>
    <w:rsid w:val="009F27B2"/>
    <w:rsid w:val="009F3D82"/>
    <w:rsid w:val="009F437C"/>
    <w:rsid w:val="009F465E"/>
    <w:rsid w:val="009F474A"/>
    <w:rsid w:val="009F6A90"/>
    <w:rsid w:val="009F744F"/>
    <w:rsid w:val="00A008FF"/>
    <w:rsid w:val="00A0257F"/>
    <w:rsid w:val="00A03AD2"/>
    <w:rsid w:val="00A03F71"/>
    <w:rsid w:val="00A03FC6"/>
    <w:rsid w:val="00A0603E"/>
    <w:rsid w:val="00A0664A"/>
    <w:rsid w:val="00A074F0"/>
    <w:rsid w:val="00A102E6"/>
    <w:rsid w:val="00A11777"/>
    <w:rsid w:val="00A120DE"/>
    <w:rsid w:val="00A121E3"/>
    <w:rsid w:val="00A12801"/>
    <w:rsid w:val="00A12988"/>
    <w:rsid w:val="00A1350A"/>
    <w:rsid w:val="00A13576"/>
    <w:rsid w:val="00A1474D"/>
    <w:rsid w:val="00A14B01"/>
    <w:rsid w:val="00A15F4B"/>
    <w:rsid w:val="00A23A4F"/>
    <w:rsid w:val="00A259A2"/>
    <w:rsid w:val="00A25F5F"/>
    <w:rsid w:val="00A26426"/>
    <w:rsid w:val="00A26DF3"/>
    <w:rsid w:val="00A2728E"/>
    <w:rsid w:val="00A303D2"/>
    <w:rsid w:val="00A3101C"/>
    <w:rsid w:val="00A314B0"/>
    <w:rsid w:val="00A350BE"/>
    <w:rsid w:val="00A354BC"/>
    <w:rsid w:val="00A37B69"/>
    <w:rsid w:val="00A37C8A"/>
    <w:rsid w:val="00A407C4"/>
    <w:rsid w:val="00A41137"/>
    <w:rsid w:val="00A429CF"/>
    <w:rsid w:val="00A436AA"/>
    <w:rsid w:val="00A44775"/>
    <w:rsid w:val="00A50557"/>
    <w:rsid w:val="00A507E3"/>
    <w:rsid w:val="00A51829"/>
    <w:rsid w:val="00A51EC9"/>
    <w:rsid w:val="00A52001"/>
    <w:rsid w:val="00A52C35"/>
    <w:rsid w:val="00A53014"/>
    <w:rsid w:val="00A5373C"/>
    <w:rsid w:val="00A53D80"/>
    <w:rsid w:val="00A54B76"/>
    <w:rsid w:val="00A557D7"/>
    <w:rsid w:val="00A57928"/>
    <w:rsid w:val="00A61DCE"/>
    <w:rsid w:val="00A625CB"/>
    <w:rsid w:val="00A62CBF"/>
    <w:rsid w:val="00A653A1"/>
    <w:rsid w:val="00A6637B"/>
    <w:rsid w:val="00A668A6"/>
    <w:rsid w:val="00A67915"/>
    <w:rsid w:val="00A70D52"/>
    <w:rsid w:val="00A70D7A"/>
    <w:rsid w:val="00A71CA6"/>
    <w:rsid w:val="00A73E3A"/>
    <w:rsid w:val="00A7447B"/>
    <w:rsid w:val="00A7588F"/>
    <w:rsid w:val="00A75A77"/>
    <w:rsid w:val="00A75E52"/>
    <w:rsid w:val="00A75FF4"/>
    <w:rsid w:val="00A76295"/>
    <w:rsid w:val="00A806FC"/>
    <w:rsid w:val="00A80A89"/>
    <w:rsid w:val="00A81019"/>
    <w:rsid w:val="00A81429"/>
    <w:rsid w:val="00A8256C"/>
    <w:rsid w:val="00A83D50"/>
    <w:rsid w:val="00A856CE"/>
    <w:rsid w:val="00A86C27"/>
    <w:rsid w:val="00A87F53"/>
    <w:rsid w:val="00A910BE"/>
    <w:rsid w:val="00A928FA"/>
    <w:rsid w:val="00A92E6A"/>
    <w:rsid w:val="00A92FDC"/>
    <w:rsid w:val="00A93A3B"/>
    <w:rsid w:val="00A93C7B"/>
    <w:rsid w:val="00A93E7B"/>
    <w:rsid w:val="00A947C3"/>
    <w:rsid w:val="00A95263"/>
    <w:rsid w:val="00A9533C"/>
    <w:rsid w:val="00A9662C"/>
    <w:rsid w:val="00A96DB9"/>
    <w:rsid w:val="00A972F3"/>
    <w:rsid w:val="00A97AFF"/>
    <w:rsid w:val="00A97F0C"/>
    <w:rsid w:val="00AA122E"/>
    <w:rsid w:val="00AA2E15"/>
    <w:rsid w:val="00AA4228"/>
    <w:rsid w:val="00AA4E07"/>
    <w:rsid w:val="00AA760B"/>
    <w:rsid w:val="00AB137B"/>
    <w:rsid w:val="00AB29C0"/>
    <w:rsid w:val="00AB42A5"/>
    <w:rsid w:val="00AB4895"/>
    <w:rsid w:val="00AB52DB"/>
    <w:rsid w:val="00AB5880"/>
    <w:rsid w:val="00AB5A82"/>
    <w:rsid w:val="00AB79E6"/>
    <w:rsid w:val="00AC03E0"/>
    <w:rsid w:val="00AC06D5"/>
    <w:rsid w:val="00AC0EBE"/>
    <w:rsid w:val="00AC2BA0"/>
    <w:rsid w:val="00AC5AA6"/>
    <w:rsid w:val="00AC627F"/>
    <w:rsid w:val="00AC6CB7"/>
    <w:rsid w:val="00AC760D"/>
    <w:rsid w:val="00AD0A9A"/>
    <w:rsid w:val="00AD1B76"/>
    <w:rsid w:val="00AD2001"/>
    <w:rsid w:val="00AD423E"/>
    <w:rsid w:val="00AD49B0"/>
    <w:rsid w:val="00AD5035"/>
    <w:rsid w:val="00AD5308"/>
    <w:rsid w:val="00AD574D"/>
    <w:rsid w:val="00AD5EDE"/>
    <w:rsid w:val="00AD7506"/>
    <w:rsid w:val="00AD7C73"/>
    <w:rsid w:val="00AE04F8"/>
    <w:rsid w:val="00AE07F4"/>
    <w:rsid w:val="00AE0AB4"/>
    <w:rsid w:val="00AE3E9C"/>
    <w:rsid w:val="00AE42DC"/>
    <w:rsid w:val="00AE4828"/>
    <w:rsid w:val="00AE575E"/>
    <w:rsid w:val="00AE60E6"/>
    <w:rsid w:val="00AE6ABD"/>
    <w:rsid w:val="00AE73EB"/>
    <w:rsid w:val="00AE7669"/>
    <w:rsid w:val="00AF32CD"/>
    <w:rsid w:val="00AF3BCC"/>
    <w:rsid w:val="00AF4A8F"/>
    <w:rsid w:val="00AF56BF"/>
    <w:rsid w:val="00AF780F"/>
    <w:rsid w:val="00AF7AA5"/>
    <w:rsid w:val="00B001DA"/>
    <w:rsid w:val="00B00E46"/>
    <w:rsid w:val="00B023A2"/>
    <w:rsid w:val="00B03EEC"/>
    <w:rsid w:val="00B0474E"/>
    <w:rsid w:val="00B061EB"/>
    <w:rsid w:val="00B07A02"/>
    <w:rsid w:val="00B07DAD"/>
    <w:rsid w:val="00B07FF8"/>
    <w:rsid w:val="00B104FC"/>
    <w:rsid w:val="00B1070B"/>
    <w:rsid w:val="00B1386C"/>
    <w:rsid w:val="00B13AFB"/>
    <w:rsid w:val="00B1491F"/>
    <w:rsid w:val="00B14A00"/>
    <w:rsid w:val="00B15126"/>
    <w:rsid w:val="00B15896"/>
    <w:rsid w:val="00B15C73"/>
    <w:rsid w:val="00B167AE"/>
    <w:rsid w:val="00B17CD0"/>
    <w:rsid w:val="00B2054E"/>
    <w:rsid w:val="00B206EB"/>
    <w:rsid w:val="00B2111E"/>
    <w:rsid w:val="00B22EC3"/>
    <w:rsid w:val="00B2361A"/>
    <w:rsid w:val="00B25CFD"/>
    <w:rsid w:val="00B26182"/>
    <w:rsid w:val="00B262BD"/>
    <w:rsid w:val="00B2631B"/>
    <w:rsid w:val="00B26AAA"/>
    <w:rsid w:val="00B270CB"/>
    <w:rsid w:val="00B27360"/>
    <w:rsid w:val="00B301CB"/>
    <w:rsid w:val="00B30D87"/>
    <w:rsid w:val="00B32A82"/>
    <w:rsid w:val="00B32FBB"/>
    <w:rsid w:val="00B341CE"/>
    <w:rsid w:val="00B35B69"/>
    <w:rsid w:val="00B40E3A"/>
    <w:rsid w:val="00B413BC"/>
    <w:rsid w:val="00B423F5"/>
    <w:rsid w:val="00B428CE"/>
    <w:rsid w:val="00B442B8"/>
    <w:rsid w:val="00B44F45"/>
    <w:rsid w:val="00B44FA1"/>
    <w:rsid w:val="00B451B6"/>
    <w:rsid w:val="00B453A0"/>
    <w:rsid w:val="00B47326"/>
    <w:rsid w:val="00B47517"/>
    <w:rsid w:val="00B47F92"/>
    <w:rsid w:val="00B50C4E"/>
    <w:rsid w:val="00B5129D"/>
    <w:rsid w:val="00B517BE"/>
    <w:rsid w:val="00B52CD6"/>
    <w:rsid w:val="00B54260"/>
    <w:rsid w:val="00B54364"/>
    <w:rsid w:val="00B55966"/>
    <w:rsid w:val="00B55A15"/>
    <w:rsid w:val="00B55C44"/>
    <w:rsid w:val="00B576B3"/>
    <w:rsid w:val="00B616EA"/>
    <w:rsid w:val="00B63255"/>
    <w:rsid w:val="00B6389F"/>
    <w:rsid w:val="00B638E0"/>
    <w:rsid w:val="00B6493C"/>
    <w:rsid w:val="00B64BD1"/>
    <w:rsid w:val="00B652CC"/>
    <w:rsid w:val="00B6562F"/>
    <w:rsid w:val="00B67EE8"/>
    <w:rsid w:val="00B70783"/>
    <w:rsid w:val="00B71415"/>
    <w:rsid w:val="00B73220"/>
    <w:rsid w:val="00B735BE"/>
    <w:rsid w:val="00B75875"/>
    <w:rsid w:val="00B76A99"/>
    <w:rsid w:val="00B77411"/>
    <w:rsid w:val="00B77635"/>
    <w:rsid w:val="00B8087F"/>
    <w:rsid w:val="00B80896"/>
    <w:rsid w:val="00B80C02"/>
    <w:rsid w:val="00B80DA8"/>
    <w:rsid w:val="00B8192F"/>
    <w:rsid w:val="00B82205"/>
    <w:rsid w:val="00B83268"/>
    <w:rsid w:val="00B83298"/>
    <w:rsid w:val="00B851C3"/>
    <w:rsid w:val="00B85DF9"/>
    <w:rsid w:val="00B85EA9"/>
    <w:rsid w:val="00B86D7F"/>
    <w:rsid w:val="00B8705A"/>
    <w:rsid w:val="00B876BD"/>
    <w:rsid w:val="00B900DD"/>
    <w:rsid w:val="00B91565"/>
    <w:rsid w:val="00B919F0"/>
    <w:rsid w:val="00B91D19"/>
    <w:rsid w:val="00B92C10"/>
    <w:rsid w:val="00B9353B"/>
    <w:rsid w:val="00B93E5B"/>
    <w:rsid w:val="00B94158"/>
    <w:rsid w:val="00B944DF"/>
    <w:rsid w:val="00B94D2C"/>
    <w:rsid w:val="00B959DC"/>
    <w:rsid w:val="00B95A62"/>
    <w:rsid w:val="00B95CF9"/>
    <w:rsid w:val="00B96CB1"/>
    <w:rsid w:val="00B96D64"/>
    <w:rsid w:val="00B9781D"/>
    <w:rsid w:val="00BA06B9"/>
    <w:rsid w:val="00BA0CC3"/>
    <w:rsid w:val="00BA15F9"/>
    <w:rsid w:val="00BA1B16"/>
    <w:rsid w:val="00BA1F6F"/>
    <w:rsid w:val="00BA25CA"/>
    <w:rsid w:val="00BA379A"/>
    <w:rsid w:val="00BA3D59"/>
    <w:rsid w:val="00BA3E99"/>
    <w:rsid w:val="00BA41CD"/>
    <w:rsid w:val="00BA4E41"/>
    <w:rsid w:val="00BA5F09"/>
    <w:rsid w:val="00BA695F"/>
    <w:rsid w:val="00BA6C9D"/>
    <w:rsid w:val="00BA75FD"/>
    <w:rsid w:val="00BB054A"/>
    <w:rsid w:val="00BB0954"/>
    <w:rsid w:val="00BB1D96"/>
    <w:rsid w:val="00BB1DB7"/>
    <w:rsid w:val="00BB1E0F"/>
    <w:rsid w:val="00BB2DCB"/>
    <w:rsid w:val="00BB4F9B"/>
    <w:rsid w:val="00BB7BFA"/>
    <w:rsid w:val="00BC04A4"/>
    <w:rsid w:val="00BC089C"/>
    <w:rsid w:val="00BC1049"/>
    <w:rsid w:val="00BC3C0F"/>
    <w:rsid w:val="00BC3E21"/>
    <w:rsid w:val="00BC42A8"/>
    <w:rsid w:val="00BC782A"/>
    <w:rsid w:val="00BD00BD"/>
    <w:rsid w:val="00BD03CF"/>
    <w:rsid w:val="00BD07DB"/>
    <w:rsid w:val="00BD103E"/>
    <w:rsid w:val="00BD1B2C"/>
    <w:rsid w:val="00BD1FBF"/>
    <w:rsid w:val="00BD26DE"/>
    <w:rsid w:val="00BD2FF6"/>
    <w:rsid w:val="00BD4FF2"/>
    <w:rsid w:val="00BD50E8"/>
    <w:rsid w:val="00BD5A1D"/>
    <w:rsid w:val="00BD5F7F"/>
    <w:rsid w:val="00BD7B49"/>
    <w:rsid w:val="00BD7E44"/>
    <w:rsid w:val="00BD7F6B"/>
    <w:rsid w:val="00BE2762"/>
    <w:rsid w:val="00BE37FE"/>
    <w:rsid w:val="00BE41E6"/>
    <w:rsid w:val="00BE796D"/>
    <w:rsid w:val="00BF0CAE"/>
    <w:rsid w:val="00BF2748"/>
    <w:rsid w:val="00BF28F7"/>
    <w:rsid w:val="00BF3248"/>
    <w:rsid w:val="00BF3304"/>
    <w:rsid w:val="00BF487F"/>
    <w:rsid w:val="00BF566B"/>
    <w:rsid w:val="00BF6D21"/>
    <w:rsid w:val="00BF7236"/>
    <w:rsid w:val="00C031E2"/>
    <w:rsid w:val="00C04080"/>
    <w:rsid w:val="00C04185"/>
    <w:rsid w:val="00C0424B"/>
    <w:rsid w:val="00C058E4"/>
    <w:rsid w:val="00C10CEE"/>
    <w:rsid w:val="00C11192"/>
    <w:rsid w:val="00C1349F"/>
    <w:rsid w:val="00C13B9A"/>
    <w:rsid w:val="00C14CBB"/>
    <w:rsid w:val="00C17063"/>
    <w:rsid w:val="00C1765C"/>
    <w:rsid w:val="00C2066F"/>
    <w:rsid w:val="00C20AE6"/>
    <w:rsid w:val="00C22551"/>
    <w:rsid w:val="00C24732"/>
    <w:rsid w:val="00C25247"/>
    <w:rsid w:val="00C255DE"/>
    <w:rsid w:val="00C26233"/>
    <w:rsid w:val="00C26B51"/>
    <w:rsid w:val="00C278C0"/>
    <w:rsid w:val="00C307F4"/>
    <w:rsid w:val="00C31615"/>
    <w:rsid w:val="00C31DA4"/>
    <w:rsid w:val="00C34817"/>
    <w:rsid w:val="00C360AF"/>
    <w:rsid w:val="00C37E69"/>
    <w:rsid w:val="00C404B1"/>
    <w:rsid w:val="00C40DF8"/>
    <w:rsid w:val="00C415E1"/>
    <w:rsid w:val="00C428A7"/>
    <w:rsid w:val="00C43FBF"/>
    <w:rsid w:val="00C46137"/>
    <w:rsid w:val="00C501A1"/>
    <w:rsid w:val="00C5089C"/>
    <w:rsid w:val="00C50974"/>
    <w:rsid w:val="00C51B09"/>
    <w:rsid w:val="00C51BFC"/>
    <w:rsid w:val="00C53043"/>
    <w:rsid w:val="00C54145"/>
    <w:rsid w:val="00C54CD3"/>
    <w:rsid w:val="00C567E7"/>
    <w:rsid w:val="00C56AB0"/>
    <w:rsid w:val="00C5758C"/>
    <w:rsid w:val="00C658D4"/>
    <w:rsid w:val="00C67677"/>
    <w:rsid w:val="00C6797E"/>
    <w:rsid w:val="00C70893"/>
    <w:rsid w:val="00C735FD"/>
    <w:rsid w:val="00C756E9"/>
    <w:rsid w:val="00C7640F"/>
    <w:rsid w:val="00C769AA"/>
    <w:rsid w:val="00C76B00"/>
    <w:rsid w:val="00C76B67"/>
    <w:rsid w:val="00C77C69"/>
    <w:rsid w:val="00C77EFF"/>
    <w:rsid w:val="00C801CE"/>
    <w:rsid w:val="00C81485"/>
    <w:rsid w:val="00C81A65"/>
    <w:rsid w:val="00C81EBC"/>
    <w:rsid w:val="00C82B2D"/>
    <w:rsid w:val="00C82D31"/>
    <w:rsid w:val="00C85185"/>
    <w:rsid w:val="00C85293"/>
    <w:rsid w:val="00C867A1"/>
    <w:rsid w:val="00C87172"/>
    <w:rsid w:val="00C9117B"/>
    <w:rsid w:val="00C91791"/>
    <w:rsid w:val="00C92083"/>
    <w:rsid w:val="00C9274E"/>
    <w:rsid w:val="00C92BF0"/>
    <w:rsid w:val="00C92CE7"/>
    <w:rsid w:val="00C93DE2"/>
    <w:rsid w:val="00C94944"/>
    <w:rsid w:val="00C94EB4"/>
    <w:rsid w:val="00C959EC"/>
    <w:rsid w:val="00C97FBC"/>
    <w:rsid w:val="00CA1F38"/>
    <w:rsid w:val="00CA27B5"/>
    <w:rsid w:val="00CA5C23"/>
    <w:rsid w:val="00CA645E"/>
    <w:rsid w:val="00CA774C"/>
    <w:rsid w:val="00CB150C"/>
    <w:rsid w:val="00CB3002"/>
    <w:rsid w:val="00CB352C"/>
    <w:rsid w:val="00CB3F92"/>
    <w:rsid w:val="00CB44A8"/>
    <w:rsid w:val="00CB44FF"/>
    <w:rsid w:val="00CB4A7C"/>
    <w:rsid w:val="00CB508B"/>
    <w:rsid w:val="00CB56F7"/>
    <w:rsid w:val="00CB5CA8"/>
    <w:rsid w:val="00CB6666"/>
    <w:rsid w:val="00CC04C3"/>
    <w:rsid w:val="00CC138F"/>
    <w:rsid w:val="00CC1EBD"/>
    <w:rsid w:val="00CC2559"/>
    <w:rsid w:val="00CC4F30"/>
    <w:rsid w:val="00CC54B0"/>
    <w:rsid w:val="00CC5504"/>
    <w:rsid w:val="00CC5C00"/>
    <w:rsid w:val="00CC5D74"/>
    <w:rsid w:val="00CC5F0E"/>
    <w:rsid w:val="00CC6583"/>
    <w:rsid w:val="00CD12C1"/>
    <w:rsid w:val="00CD1A09"/>
    <w:rsid w:val="00CD2217"/>
    <w:rsid w:val="00CD3E21"/>
    <w:rsid w:val="00CD4BB8"/>
    <w:rsid w:val="00CD4D14"/>
    <w:rsid w:val="00CD5C09"/>
    <w:rsid w:val="00CD5F40"/>
    <w:rsid w:val="00CD603C"/>
    <w:rsid w:val="00CD76F1"/>
    <w:rsid w:val="00CE056D"/>
    <w:rsid w:val="00CE0B9B"/>
    <w:rsid w:val="00CE1519"/>
    <w:rsid w:val="00CE1706"/>
    <w:rsid w:val="00CE2021"/>
    <w:rsid w:val="00CE2672"/>
    <w:rsid w:val="00CE26E1"/>
    <w:rsid w:val="00CE2915"/>
    <w:rsid w:val="00CE2D34"/>
    <w:rsid w:val="00CE3359"/>
    <w:rsid w:val="00CE38DF"/>
    <w:rsid w:val="00CE4171"/>
    <w:rsid w:val="00CE4FE4"/>
    <w:rsid w:val="00CF00D4"/>
    <w:rsid w:val="00CF0457"/>
    <w:rsid w:val="00CF25A0"/>
    <w:rsid w:val="00CF5B79"/>
    <w:rsid w:val="00CF6DFE"/>
    <w:rsid w:val="00CF7569"/>
    <w:rsid w:val="00CF777B"/>
    <w:rsid w:val="00CF7FF6"/>
    <w:rsid w:val="00D0119C"/>
    <w:rsid w:val="00D01925"/>
    <w:rsid w:val="00D030FB"/>
    <w:rsid w:val="00D03E42"/>
    <w:rsid w:val="00D051DF"/>
    <w:rsid w:val="00D05619"/>
    <w:rsid w:val="00D06CDC"/>
    <w:rsid w:val="00D07FEE"/>
    <w:rsid w:val="00D11640"/>
    <w:rsid w:val="00D11A58"/>
    <w:rsid w:val="00D12A1C"/>
    <w:rsid w:val="00D12E7A"/>
    <w:rsid w:val="00D141A3"/>
    <w:rsid w:val="00D14B18"/>
    <w:rsid w:val="00D150FD"/>
    <w:rsid w:val="00D16BFA"/>
    <w:rsid w:val="00D16C19"/>
    <w:rsid w:val="00D20998"/>
    <w:rsid w:val="00D20B24"/>
    <w:rsid w:val="00D222EF"/>
    <w:rsid w:val="00D23507"/>
    <w:rsid w:val="00D23623"/>
    <w:rsid w:val="00D236DF"/>
    <w:rsid w:val="00D244EA"/>
    <w:rsid w:val="00D24CEB"/>
    <w:rsid w:val="00D24D9A"/>
    <w:rsid w:val="00D2520B"/>
    <w:rsid w:val="00D25579"/>
    <w:rsid w:val="00D26152"/>
    <w:rsid w:val="00D265A2"/>
    <w:rsid w:val="00D27023"/>
    <w:rsid w:val="00D271AF"/>
    <w:rsid w:val="00D2732E"/>
    <w:rsid w:val="00D316B6"/>
    <w:rsid w:val="00D31AA7"/>
    <w:rsid w:val="00D34B60"/>
    <w:rsid w:val="00D361A4"/>
    <w:rsid w:val="00D37182"/>
    <w:rsid w:val="00D40802"/>
    <w:rsid w:val="00D40A4B"/>
    <w:rsid w:val="00D41DF1"/>
    <w:rsid w:val="00D42F7A"/>
    <w:rsid w:val="00D4323C"/>
    <w:rsid w:val="00D43CD2"/>
    <w:rsid w:val="00D44E7A"/>
    <w:rsid w:val="00D44F38"/>
    <w:rsid w:val="00D45CC2"/>
    <w:rsid w:val="00D462AF"/>
    <w:rsid w:val="00D46FCC"/>
    <w:rsid w:val="00D47599"/>
    <w:rsid w:val="00D47957"/>
    <w:rsid w:val="00D47B82"/>
    <w:rsid w:val="00D50BD1"/>
    <w:rsid w:val="00D51198"/>
    <w:rsid w:val="00D514E8"/>
    <w:rsid w:val="00D55A16"/>
    <w:rsid w:val="00D5691B"/>
    <w:rsid w:val="00D61239"/>
    <w:rsid w:val="00D61911"/>
    <w:rsid w:val="00D63AEE"/>
    <w:rsid w:val="00D671D3"/>
    <w:rsid w:val="00D70ABE"/>
    <w:rsid w:val="00D713E0"/>
    <w:rsid w:val="00D71F7F"/>
    <w:rsid w:val="00D720BF"/>
    <w:rsid w:val="00D72614"/>
    <w:rsid w:val="00D735D4"/>
    <w:rsid w:val="00D752AC"/>
    <w:rsid w:val="00D76CB1"/>
    <w:rsid w:val="00D779D9"/>
    <w:rsid w:val="00D8094A"/>
    <w:rsid w:val="00D80AB1"/>
    <w:rsid w:val="00D80C65"/>
    <w:rsid w:val="00D8257E"/>
    <w:rsid w:val="00D836C5"/>
    <w:rsid w:val="00D84091"/>
    <w:rsid w:val="00D8438C"/>
    <w:rsid w:val="00D845B0"/>
    <w:rsid w:val="00D84917"/>
    <w:rsid w:val="00D90118"/>
    <w:rsid w:val="00D90BF0"/>
    <w:rsid w:val="00D917F6"/>
    <w:rsid w:val="00D91AAD"/>
    <w:rsid w:val="00D928CB"/>
    <w:rsid w:val="00D94121"/>
    <w:rsid w:val="00D94C27"/>
    <w:rsid w:val="00D96660"/>
    <w:rsid w:val="00DA07E0"/>
    <w:rsid w:val="00DA1D8A"/>
    <w:rsid w:val="00DA2CD9"/>
    <w:rsid w:val="00DA3E74"/>
    <w:rsid w:val="00DA40A8"/>
    <w:rsid w:val="00DA45E2"/>
    <w:rsid w:val="00DA4CF8"/>
    <w:rsid w:val="00DA5A9E"/>
    <w:rsid w:val="00DA63C8"/>
    <w:rsid w:val="00DA7A29"/>
    <w:rsid w:val="00DB107C"/>
    <w:rsid w:val="00DB1A30"/>
    <w:rsid w:val="00DB2C7E"/>
    <w:rsid w:val="00DB309A"/>
    <w:rsid w:val="00DB3521"/>
    <w:rsid w:val="00DB379E"/>
    <w:rsid w:val="00DB4747"/>
    <w:rsid w:val="00DB506B"/>
    <w:rsid w:val="00DB50D1"/>
    <w:rsid w:val="00DB5651"/>
    <w:rsid w:val="00DB58A8"/>
    <w:rsid w:val="00DB6163"/>
    <w:rsid w:val="00DB621B"/>
    <w:rsid w:val="00DB7762"/>
    <w:rsid w:val="00DB7FA2"/>
    <w:rsid w:val="00DC0B0C"/>
    <w:rsid w:val="00DC1200"/>
    <w:rsid w:val="00DC1610"/>
    <w:rsid w:val="00DC1DA9"/>
    <w:rsid w:val="00DC262C"/>
    <w:rsid w:val="00DC28E0"/>
    <w:rsid w:val="00DC33CF"/>
    <w:rsid w:val="00DC49A8"/>
    <w:rsid w:val="00DC4D7E"/>
    <w:rsid w:val="00DC59AC"/>
    <w:rsid w:val="00DC5D92"/>
    <w:rsid w:val="00DC619A"/>
    <w:rsid w:val="00DC6AD5"/>
    <w:rsid w:val="00DC749B"/>
    <w:rsid w:val="00DD0D08"/>
    <w:rsid w:val="00DD1177"/>
    <w:rsid w:val="00DD13CD"/>
    <w:rsid w:val="00DD1508"/>
    <w:rsid w:val="00DD15EC"/>
    <w:rsid w:val="00DD1792"/>
    <w:rsid w:val="00DD2E76"/>
    <w:rsid w:val="00DD5442"/>
    <w:rsid w:val="00DD5605"/>
    <w:rsid w:val="00DD59B9"/>
    <w:rsid w:val="00DD5D46"/>
    <w:rsid w:val="00DD7E89"/>
    <w:rsid w:val="00DE0BA7"/>
    <w:rsid w:val="00DE0C6B"/>
    <w:rsid w:val="00DE4FCA"/>
    <w:rsid w:val="00DE5EA4"/>
    <w:rsid w:val="00DE70BC"/>
    <w:rsid w:val="00DE738D"/>
    <w:rsid w:val="00DF058F"/>
    <w:rsid w:val="00DF15F5"/>
    <w:rsid w:val="00DF16EC"/>
    <w:rsid w:val="00DF1B44"/>
    <w:rsid w:val="00DF1E9F"/>
    <w:rsid w:val="00DF2519"/>
    <w:rsid w:val="00DF3295"/>
    <w:rsid w:val="00DF34F1"/>
    <w:rsid w:val="00DF3A8C"/>
    <w:rsid w:val="00DF489F"/>
    <w:rsid w:val="00DF4DE4"/>
    <w:rsid w:val="00DF4F6E"/>
    <w:rsid w:val="00DF57A2"/>
    <w:rsid w:val="00DF5C40"/>
    <w:rsid w:val="00DF7BAD"/>
    <w:rsid w:val="00E00047"/>
    <w:rsid w:val="00E003B1"/>
    <w:rsid w:val="00E02149"/>
    <w:rsid w:val="00E027C4"/>
    <w:rsid w:val="00E02CB7"/>
    <w:rsid w:val="00E02EC4"/>
    <w:rsid w:val="00E03193"/>
    <w:rsid w:val="00E03AF8"/>
    <w:rsid w:val="00E0497A"/>
    <w:rsid w:val="00E05296"/>
    <w:rsid w:val="00E061C1"/>
    <w:rsid w:val="00E066B0"/>
    <w:rsid w:val="00E07313"/>
    <w:rsid w:val="00E11E9C"/>
    <w:rsid w:val="00E13299"/>
    <w:rsid w:val="00E15340"/>
    <w:rsid w:val="00E1559B"/>
    <w:rsid w:val="00E15CD8"/>
    <w:rsid w:val="00E163B1"/>
    <w:rsid w:val="00E16DA9"/>
    <w:rsid w:val="00E21535"/>
    <w:rsid w:val="00E23514"/>
    <w:rsid w:val="00E240E3"/>
    <w:rsid w:val="00E2439D"/>
    <w:rsid w:val="00E2442F"/>
    <w:rsid w:val="00E2598C"/>
    <w:rsid w:val="00E26830"/>
    <w:rsid w:val="00E27480"/>
    <w:rsid w:val="00E30135"/>
    <w:rsid w:val="00E30B61"/>
    <w:rsid w:val="00E31820"/>
    <w:rsid w:val="00E32C82"/>
    <w:rsid w:val="00E34234"/>
    <w:rsid w:val="00E346F7"/>
    <w:rsid w:val="00E35802"/>
    <w:rsid w:val="00E36740"/>
    <w:rsid w:val="00E36E65"/>
    <w:rsid w:val="00E375D0"/>
    <w:rsid w:val="00E377D0"/>
    <w:rsid w:val="00E4015D"/>
    <w:rsid w:val="00E404A0"/>
    <w:rsid w:val="00E404A4"/>
    <w:rsid w:val="00E41516"/>
    <w:rsid w:val="00E41872"/>
    <w:rsid w:val="00E4237F"/>
    <w:rsid w:val="00E42B96"/>
    <w:rsid w:val="00E450D5"/>
    <w:rsid w:val="00E4754C"/>
    <w:rsid w:val="00E47CE2"/>
    <w:rsid w:val="00E506B6"/>
    <w:rsid w:val="00E51B25"/>
    <w:rsid w:val="00E52D39"/>
    <w:rsid w:val="00E5316A"/>
    <w:rsid w:val="00E564F2"/>
    <w:rsid w:val="00E56AE3"/>
    <w:rsid w:val="00E570B1"/>
    <w:rsid w:val="00E61CAE"/>
    <w:rsid w:val="00E622BA"/>
    <w:rsid w:val="00E62C33"/>
    <w:rsid w:val="00E63136"/>
    <w:rsid w:val="00E635FD"/>
    <w:rsid w:val="00E652B9"/>
    <w:rsid w:val="00E67009"/>
    <w:rsid w:val="00E6711F"/>
    <w:rsid w:val="00E67996"/>
    <w:rsid w:val="00E67A6A"/>
    <w:rsid w:val="00E70844"/>
    <w:rsid w:val="00E70888"/>
    <w:rsid w:val="00E711C2"/>
    <w:rsid w:val="00E7232C"/>
    <w:rsid w:val="00E739B6"/>
    <w:rsid w:val="00E74226"/>
    <w:rsid w:val="00E747E1"/>
    <w:rsid w:val="00E75036"/>
    <w:rsid w:val="00E77179"/>
    <w:rsid w:val="00E777A0"/>
    <w:rsid w:val="00E8065A"/>
    <w:rsid w:val="00E8077B"/>
    <w:rsid w:val="00E81371"/>
    <w:rsid w:val="00E82303"/>
    <w:rsid w:val="00E82D92"/>
    <w:rsid w:val="00E82ED9"/>
    <w:rsid w:val="00E84BBB"/>
    <w:rsid w:val="00E84D15"/>
    <w:rsid w:val="00E853DB"/>
    <w:rsid w:val="00E877AB"/>
    <w:rsid w:val="00E878C7"/>
    <w:rsid w:val="00E87B39"/>
    <w:rsid w:val="00E87D71"/>
    <w:rsid w:val="00E87F27"/>
    <w:rsid w:val="00E91E5E"/>
    <w:rsid w:val="00E937F2"/>
    <w:rsid w:val="00E94474"/>
    <w:rsid w:val="00E9684E"/>
    <w:rsid w:val="00E979EF"/>
    <w:rsid w:val="00EA1098"/>
    <w:rsid w:val="00EA3544"/>
    <w:rsid w:val="00EA4C51"/>
    <w:rsid w:val="00EA52D8"/>
    <w:rsid w:val="00EA7508"/>
    <w:rsid w:val="00EA7F72"/>
    <w:rsid w:val="00EB0C30"/>
    <w:rsid w:val="00EB1A3D"/>
    <w:rsid w:val="00EB1C73"/>
    <w:rsid w:val="00EB2C3D"/>
    <w:rsid w:val="00EB2FF3"/>
    <w:rsid w:val="00EB4F54"/>
    <w:rsid w:val="00EB6910"/>
    <w:rsid w:val="00EC3952"/>
    <w:rsid w:val="00EC3F51"/>
    <w:rsid w:val="00EC4103"/>
    <w:rsid w:val="00EC41A5"/>
    <w:rsid w:val="00EC49D1"/>
    <w:rsid w:val="00EC4C78"/>
    <w:rsid w:val="00EC5549"/>
    <w:rsid w:val="00EC5AE2"/>
    <w:rsid w:val="00EC6363"/>
    <w:rsid w:val="00EC683F"/>
    <w:rsid w:val="00EC7606"/>
    <w:rsid w:val="00EC774B"/>
    <w:rsid w:val="00EC7949"/>
    <w:rsid w:val="00EC7B1E"/>
    <w:rsid w:val="00ED128E"/>
    <w:rsid w:val="00ED15EC"/>
    <w:rsid w:val="00ED1A59"/>
    <w:rsid w:val="00ED4605"/>
    <w:rsid w:val="00ED4D2D"/>
    <w:rsid w:val="00ED7158"/>
    <w:rsid w:val="00ED7CEE"/>
    <w:rsid w:val="00EE3490"/>
    <w:rsid w:val="00EE3DEA"/>
    <w:rsid w:val="00EE426E"/>
    <w:rsid w:val="00EE6CBC"/>
    <w:rsid w:val="00EE75EF"/>
    <w:rsid w:val="00EF077B"/>
    <w:rsid w:val="00EF0AE6"/>
    <w:rsid w:val="00EF0BCF"/>
    <w:rsid w:val="00EF1704"/>
    <w:rsid w:val="00EF285F"/>
    <w:rsid w:val="00EF5872"/>
    <w:rsid w:val="00EF6ADE"/>
    <w:rsid w:val="00EF7549"/>
    <w:rsid w:val="00F011EA"/>
    <w:rsid w:val="00F0129B"/>
    <w:rsid w:val="00F02401"/>
    <w:rsid w:val="00F02708"/>
    <w:rsid w:val="00F02937"/>
    <w:rsid w:val="00F03EE2"/>
    <w:rsid w:val="00F044E0"/>
    <w:rsid w:val="00F0476B"/>
    <w:rsid w:val="00F0479D"/>
    <w:rsid w:val="00F063F5"/>
    <w:rsid w:val="00F064C9"/>
    <w:rsid w:val="00F06B01"/>
    <w:rsid w:val="00F13112"/>
    <w:rsid w:val="00F13708"/>
    <w:rsid w:val="00F1499B"/>
    <w:rsid w:val="00F15315"/>
    <w:rsid w:val="00F15579"/>
    <w:rsid w:val="00F168C7"/>
    <w:rsid w:val="00F17462"/>
    <w:rsid w:val="00F17467"/>
    <w:rsid w:val="00F20F64"/>
    <w:rsid w:val="00F24136"/>
    <w:rsid w:val="00F245AE"/>
    <w:rsid w:val="00F246AB"/>
    <w:rsid w:val="00F25881"/>
    <w:rsid w:val="00F25BB5"/>
    <w:rsid w:val="00F27755"/>
    <w:rsid w:val="00F27C7F"/>
    <w:rsid w:val="00F30FD9"/>
    <w:rsid w:val="00F322D0"/>
    <w:rsid w:val="00F325DC"/>
    <w:rsid w:val="00F333E2"/>
    <w:rsid w:val="00F337DE"/>
    <w:rsid w:val="00F34133"/>
    <w:rsid w:val="00F3484F"/>
    <w:rsid w:val="00F35E49"/>
    <w:rsid w:val="00F3600C"/>
    <w:rsid w:val="00F365A3"/>
    <w:rsid w:val="00F371D9"/>
    <w:rsid w:val="00F43644"/>
    <w:rsid w:val="00F45A4D"/>
    <w:rsid w:val="00F45D62"/>
    <w:rsid w:val="00F46379"/>
    <w:rsid w:val="00F46773"/>
    <w:rsid w:val="00F47A74"/>
    <w:rsid w:val="00F5006D"/>
    <w:rsid w:val="00F503BD"/>
    <w:rsid w:val="00F50DA7"/>
    <w:rsid w:val="00F5105C"/>
    <w:rsid w:val="00F5250F"/>
    <w:rsid w:val="00F52C58"/>
    <w:rsid w:val="00F54832"/>
    <w:rsid w:val="00F57A19"/>
    <w:rsid w:val="00F57B09"/>
    <w:rsid w:val="00F60BB5"/>
    <w:rsid w:val="00F6213B"/>
    <w:rsid w:val="00F629B3"/>
    <w:rsid w:val="00F62B4F"/>
    <w:rsid w:val="00F641B5"/>
    <w:rsid w:val="00F64369"/>
    <w:rsid w:val="00F647A8"/>
    <w:rsid w:val="00F65EF3"/>
    <w:rsid w:val="00F66786"/>
    <w:rsid w:val="00F66C36"/>
    <w:rsid w:val="00F67269"/>
    <w:rsid w:val="00F676DA"/>
    <w:rsid w:val="00F72C7C"/>
    <w:rsid w:val="00F7342A"/>
    <w:rsid w:val="00F736C7"/>
    <w:rsid w:val="00F7450E"/>
    <w:rsid w:val="00F74AC9"/>
    <w:rsid w:val="00F755A1"/>
    <w:rsid w:val="00F756AC"/>
    <w:rsid w:val="00F759BF"/>
    <w:rsid w:val="00F763BF"/>
    <w:rsid w:val="00F76D63"/>
    <w:rsid w:val="00F804D3"/>
    <w:rsid w:val="00F80DA8"/>
    <w:rsid w:val="00F80EDC"/>
    <w:rsid w:val="00F8182B"/>
    <w:rsid w:val="00F8186B"/>
    <w:rsid w:val="00F8267D"/>
    <w:rsid w:val="00F82C38"/>
    <w:rsid w:val="00F82F49"/>
    <w:rsid w:val="00F83294"/>
    <w:rsid w:val="00F83449"/>
    <w:rsid w:val="00F8433C"/>
    <w:rsid w:val="00F85B54"/>
    <w:rsid w:val="00F86030"/>
    <w:rsid w:val="00F87298"/>
    <w:rsid w:val="00F874AF"/>
    <w:rsid w:val="00F87D08"/>
    <w:rsid w:val="00F87F92"/>
    <w:rsid w:val="00F90189"/>
    <w:rsid w:val="00F919FB"/>
    <w:rsid w:val="00F91D97"/>
    <w:rsid w:val="00F93EC2"/>
    <w:rsid w:val="00F9401C"/>
    <w:rsid w:val="00F948A5"/>
    <w:rsid w:val="00F95916"/>
    <w:rsid w:val="00F95BC9"/>
    <w:rsid w:val="00F95E97"/>
    <w:rsid w:val="00F975B1"/>
    <w:rsid w:val="00FA194B"/>
    <w:rsid w:val="00FA20DC"/>
    <w:rsid w:val="00FA45A7"/>
    <w:rsid w:val="00FA45F8"/>
    <w:rsid w:val="00FA6D94"/>
    <w:rsid w:val="00FB2063"/>
    <w:rsid w:val="00FB2DAC"/>
    <w:rsid w:val="00FB4070"/>
    <w:rsid w:val="00FB61B5"/>
    <w:rsid w:val="00FB6B0E"/>
    <w:rsid w:val="00FC0C20"/>
    <w:rsid w:val="00FC2090"/>
    <w:rsid w:val="00FC428D"/>
    <w:rsid w:val="00FC58C3"/>
    <w:rsid w:val="00FC5C45"/>
    <w:rsid w:val="00FC7560"/>
    <w:rsid w:val="00FC7627"/>
    <w:rsid w:val="00FD00C6"/>
    <w:rsid w:val="00FD17AF"/>
    <w:rsid w:val="00FD1C8D"/>
    <w:rsid w:val="00FD1CE0"/>
    <w:rsid w:val="00FD243E"/>
    <w:rsid w:val="00FD399F"/>
    <w:rsid w:val="00FE049B"/>
    <w:rsid w:val="00FE0A54"/>
    <w:rsid w:val="00FE12CA"/>
    <w:rsid w:val="00FE22EB"/>
    <w:rsid w:val="00FE335F"/>
    <w:rsid w:val="00FE3401"/>
    <w:rsid w:val="00FE3B87"/>
    <w:rsid w:val="00FE50B9"/>
    <w:rsid w:val="00FE7CDA"/>
    <w:rsid w:val="00FF0F46"/>
    <w:rsid w:val="00FF20F8"/>
    <w:rsid w:val="00FF28E4"/>
    <w:rsid w:val="00FF2E60"/>
    <w:rsid w:val="00FF4CA0"/>
    <w:rsid w:val="00FF566E"/>
    <w:rsid w:val="00FF5DAB"/>
    <w:rsid w:val="00FF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6"/>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6"/>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6"/>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6"/>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6"/>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6"/>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6"/>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6"/>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6"/>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10"/>
      </w:numPr>
      <w:spacing w:before="60" w:after="60" w:line="300" w:lineRule="exact"/>
      <w:ind w:left="357" w:hanging="357"/>
    </w:pPr>
    <w:rPr>
      <w:rFonts w:ascii="Arial" w:eastAsia="SimSun" w:hAnsi="Arial"/>
      <w:sz w:val="22"/>
      <w:lang w:val="ro-RO"/>
    </w:rPr>
  </w:style>
  <w:style w:type="character" w:customStyle="1" w:styleId="fontstyle01">
    <w:name w:val="fontstyle01"/>
    <w:basedOn w:val="DefaultParagraphFont"/>
    <w:qFormat/>
    <w:rsid w:val="00423D67"/>
    <w:rPr>
      <w:rFonts w:ascii="CIDFont+F2" w:hAnsi="CIDFont+F2" w:hint="default"/>
      <w:b w:val="0"/>
      <w:bCs w:val="0"/>
      <w:i w:val="0"/>
      <w:iCs w:val="0"/>
      <w:color w:val="000000"/>
      <w:sz w:val="22"/>
      <w:szCs w:val="22"/>
    </w:rPr>
  </w:style>
  <w:style w:type="character" w:customStyle="1" w:styleId="Bodytext2">
    <w:name w:val="Body text (2)_"/>
    <w:link w:val="Bodytext20"/>
    <w:rsid w:val="00B76A99"/>
    <w:rPr>
      <w:rFonts w:ascii="Times New Roman" w:eastAsia="Times New Roman" w:hAnsi="Times New Roman"/>
      <w:shd w:val="clear" w:color="auto" w:fill="FFFFFF"/>
    </w:rPr>
  </w:style>
  <w:style w:type="paragraph" w:customStyle="1" w:styleId="Bodytext20">
    <w:name w:val="Body text (2)"/>
    <w:basedOn w:val="Normal"/>
    <w:link w:val="Bodytext2"/>
    <w:rsid w:val="00B76A99"/>
    <w:pPr>
      <w:widowControl w:val="0"/>
      <w:shd w:val="clear" w:color="auto" w:fill="FFFFFF"/>
      <w:spacing w:before="660" w:after="60" w:line="259" w:lineRule="exact"/>
      <w:ind w:firstLine="6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877090900">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246039240">
      <w:bodyDiv w:val="1"/>
      <w:marLeft w:val="0"/>
      <w:marRight w:val="0"/>
      <w:marTop w:val="0"/>
      <w:marBottom w:val="0"/>
      <w:divBdr>
        <w:top w:val="none" w:sz="0" w:space="0" w:color="auto"/>
        <w:left w:val="none" w:sz="0" w:space="0" w:color="auto"/>
        <w:bottom w:val="none" w:sz="0" w:space="0" w:color="auto"/>
        <w:right w:val="none" w:sz="0" w:space="0" w:color="auto"/>
      </w:divBdr>
    </w:div>
    <w:div w:id="1416440830">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1B7C-C9B9-417E-B90D-BB7977E0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17</Pages>
  <Words>8516</Words>
  <Characters>48546</Characters>
  <Application>Microsoft Office Word</Application>
  <DocSecurity>0</DocSecurity>
  <Lines>404</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56949</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277</cp:revision>
  <cp:lastPrinted>2025-09-03T08:09:00Z</cp:lastPrinted>
  <dcterms:created xsi:type="dcterms:W3CDTF">2025-08-05T08:45:00Z</dcterms:created>
  <dcterms:modified xsi:type="dcterms:W3CDTF">2026-04-23T11:05:00Z</dcterms:modified>
</cp:coreProperties>
</file>